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D7377B">
        <w:trPr>
          <w:jc w:val="center"/>
        </w:trPr>
        <w:tc>
          <w:tcPr>
            <w:tcW w:w="743" w:type="dxa"/>
          </w:tcPr>
          <w:p w:rsidR="002914D6" w:rsidRPr="003B6B3C" w:rsidRDefault="002B4F33">
            <w:pPr>
              <w:jc w:val="both"/>
              <w:rPr>
                <w:rFonts w:ascii="Arial" w:hAnsi="Arial"/>
                <w:b/>
                <w:bCs/>
                <w:sz w:val="26"/>
                <w:szCs w:val="26"/>
              </w:rPr>
            </w:pPr>
            <w:r w:rsidRPr="003B6B3C">
              <w:rPr>
                <w:rFonts w:ascii="Arial" w:hAnsi="Arial" w:hint="cs"/>
                <w:b/>
                <w:bCs/>
                <w:sz w:val="26"/>
                <w:szCs w:val="26"/>
                <w:rtl/>
              </w:rPr>
              <w:t>ב</w:t>
            </w:r>
            <w:r w:rsidRPr="003B6B3C">
              <w:rPr>
                <w:rFonts w:ascii="Arial" w:hAnsi="Arial"/>
                <w:b/>
                <w:bCs/>
                <w:sz w:val="26"/>
                <w:szCs w:val="26"/>
                <w:rtl/>
              </w:rPr>
              <w:t xml:space="preserve">פני </w:t>
            </w:r>
          </w:p>
        </w:tc>
        <w:tc>
          <w:tcPr>
            <w:tcW w:w="8077" w:type="dxa"/>
            <w:gridSpan w:val="2"/>
          </w:tcPr>
          <w:p w:rsidR="002914D6" w:rsidRPr="003B6B3C" w:rsidRDefault="002B4F33">
            <w:pPr>
              <w:rPr>
                <w:rFonts w:ascii="Arial" w:hAnsi="Arial"/>
                <w:b/>
                <w:bCs/>
                <w:sz w:val="26"/>
                <w:szCs w:val="26"/>
                <w:rtl/>
              </w:rPr>
            </w:pPr>
            <w:r w:rsidRPr="003B6B3C">
              <w:rPr>
                <w:rFonts w:ascii="Arial" w:hAnsi="Arial" w:hint="cs"/>
                <w:b/>
                <w:bCs/>
                <w:sz w:val="26"/>
                <w:szCs w:val="26"/>
                <w:rtl/>
              </w:rPr>
              <w:t>כב' ה</w:t>
            </w:r>
            <w:r w:rsidRPr="003B6B3C">
              <w:rPr>
                <w:rFonts w:ascii="Arial" w:hAnsi="Arial"/>
                <w:b/>
                <w:bCs/>
                <w:sz w:val="26"/>
                <w:szCs w:val="26"/>
                <w:rtl/>
              </w:rPr>
              <w:t>שופטת</w:t>
            </w:r>
            <w:r w:rsidRPr="003B6B3C">
              <w:rPr>
                <w:rFonts w:ascii="Arial" w:hAnsi="Arial" w:hint="cs"/>
                <w:b/>
                <w:bCs/>
                <w:sz w:val="26"/>
                <w:szCs w:val="26"/>
                <w:rtl/>
              </w:rPr>
              <w:t xml:space="preserve">  </w:t>
            </w:r>
            <w:r w:rsidRPr="003B6B3C">
              <w:rPr>
                <w:rFonts w:ascii="Arial" w:hAnsi="Arial"/>
                <w:b/>
                <w:bCs/>
                <w:sz w:val="26"/>
                <w:szCs w:val="26"/>
                <w:rtl/>
              </w:rPr>
              <w:t>תמר סנונית פורר</w:t>
            </w:r>
          </w:p>
          <w:p w:rsidR="002914D6" w:rsidRPr="003B6B3C" w:rsidRDefault="002914D6">
            <w:pPr>
              <w:rPr>
                <w:rFonts w:ascii="Arial" w:hAnsi="Arial" w:cs="FrankRuehl"/>
                <w:sz w:val="26"/>
                <w:szCs w:val="26"/>
                <w:highlight w:val="yellow"/>
              </w:rPr>
            </w:pPr>
          </w:p>
        </w:tc>
      </w:tr>
      <w:tr w:rsidR="00D7377B">
        <w:trPr>
          <w:jc w:val="center"/>
        </w:trPr>
        <w:tc>
          <w:tcPr>
            <w:tcW w:w="3249" w:type="dxa"/>
            <w:gridSpan w:val="2"/>
          </w:tcPr>
          <w:p w:rsidR="002914D6" w:rsidRPr="007B3955" w:rsidRDefault="002B4F33" w:rsidP="003B6B3C">
            <w:pPr>
              <w:bidi w:val="0"/>
              <w:jc w:val="right"/>
              <w:rPr>
                <w:rFonts w:ascii="Arial" w:hAnsi="Arial"/>
                <w:b/>
                <w:bCs/>
                <w:noProof w:val="0"/>
                <w:sz w:val="26"/>
                <w:szCs w:val="26"/>
                <w:rtl/>
              </w:rPr>
            </w:pPr>
            <w:r w:rsidRPr="007B3955">
              <w:rPr>
                <w:rFonts w:ascii="Arial" w:hAnsi="Arial" w:hint="cs"/>
                <w:b/>
                <w:bCs/>
                <w:noProof w:val="0"/>
                <w:sz w:val="26"/>
                <w:szCs w:val="26"/>
                <w:u w:val="single"/>
                <w:rtl/>
              </w:rPr>
              <w:t>התובעים</w:t>
            </w:r>
            <w:r w:rsidRPr="007B3955">
              <w:rPr>
                <w:rFonts w:ascii="Arial" w:hAnsi="Arial" w:hint="cs"/>
                <w:b/>
                <w:bCs/>
                <w:noProof w:val="0"/>
                <w:sz w:val="26"/>
                <w:szCs w:val="26"/>
                <w:rtl/>
              </w:rPr>
              <w:t>:</w:t>
            </w:r>
          </w:p>
        </w:tc>
        <w:tc>
          <w:tcPr>
            <w:tcW w:w="5571" w:type="dxa"/>
          </w:tcPr>
          <w:p w:rsidR="002914D6" w:rsidRPr="007B3955" w:rsidRDefault="002B4F33" w:rsidP="00BD5B6B">
            <w:pPr>
              <w:rPr>
                <w:b/>
                <w:bCs/>
                <w:noProof w:val="0"/>
                <w:sz w:val="26"/>
                <w:szCs w:val="26"/>
              </w:rPr>
            </w:pPr>
            <w:r w:rsidRPr="007B3955">
              <w:rPr>
                <w:rStyle w:val="ac"/>
                <w:b/>
                <w:bCs/>
                <w:color w:val="auto"/>
                <w:sz w:val="26"/>
                <w:szCs w:val="26"/>
                <w:rtl/>
              </w:rPr>
              <w:t>1</w:t>
            </w:r>
            <w:r w:rsidRPr="007B3955">
              <w:rPr>
                <w:rFonts w:hint="cs"/>
                <w:b/>
                <w:bCs/>
                <w:noProof w:val="0"/>
                <w:sz w:val="26"/>
                <w:szCs w:val="26"/>
                <w:rtl/>
              </w:rPr>
              <w:t xml:space="preserve">. </w:t>
            </w:r>
            <w:r w:rsidR="00790184" w:rsidRPr="007B3955">
              <w:rPr>
                <w:rStyle w:val="ac"/>
                <w:rFonts w:hint="eastAsia"/>
                <w:b/>
                <w:bCs/>
                <w:color w:val="auto"/>
                <w:sz w:val="26"/>
                <w:szCs w:val="26"/>
                <w:rtl/>
              </w:rPr>
              <w:t>התובע</w:t>
            </w:r>
            <w:r w:rsidR="00790184" w:rsidRPr="007B3955">
              <w:rPr>
                <w:rStyle w:val="ac"/>
                <w:b/>
                <w:bCs/>
                <w:color w:val="auto"/>
                <w:sz w:val="26"/>
                <w:szCs w:val="26"/>
                <w:rtl/>
              </w:rPr>
              <w:t xml:space="preserve"> 1</w:t>
            </w:r>
            <w:r w:rsidRPr="007B3955">
              <w:rPr>
                <w:b/>
                <w:bCs/>
                <w:noProof w:val="0"/>
                <w:sz w:val="26"/>
                <w:szCs w:val="26"/>
                <w:rtl/>
              </w:rPr>
              <w:t xml:space="preserve">, </w:t>
            </w:r>
          </w:p>
          <w:p w:rsidR="002914D6" w:rsidRPr="007B3955" w:rsidRDefault="002B4F33" w:rsidP="00BD5B6B">
            <w:pPr>
              <w:rPr>
                <w:b/>
                <w:bCs/>
                <w:noProof w:val="0"/>
                <w:sz w:val="26"/>
                <w:szCs w:val="26"/>
              </w:rPr>
            </w:pPr>
            <w:r w:rsidRPr="007B3955">
              <w:rPr>
                <w:rStyle w:val="ac"/>
                <w:b/>
                <w:bCs/>
                <w:color w:val="auto"/>
                <w:sz w:val="26"/>
                <w:szCs w:val="26"/>
                <w:rtl/>
              </w:rPr>
              <w:t>2</w:t>
            </w:r>
            <w:r w:rsidRPr="007B3955">
              <w:rPr>
                <w:b/>
                <w:bCs/>
                <w:noProof w:val="0"/>
                <w:sz w:val="26"/>
                <w:szCs w:val="26"/>
                <w:rtl/>
              </w:rPr>
              <w:t xml:space="preserve">. </w:t>
            </w:r>
            <w:r w:rsidR="00790184" w:rsidRPr="007B3955">
              <w:rPr>
                <w:rStyle w:val="ac"/>
                <w:rFonts w:hint="eastAsia"/>
                <w:b/>
                <w:bCs/>
                <w:color w:val="auto"/>
                <w:sz w:val="26"/>
                <w:szCs w:val="26"/>
                <w:rtl/>
              </w:rPr>
              <w:t>התובע</w:t>
            </w:r>
            <w:r w:rsidR="00790184" w:rsidRPr="007B3955">
              <w:rPr>
                <w:rStyle w:val="ac"/>
                <w:b/>
                <w:bCs/>
                <w:color w:val="auto"/>
                <w:sz w:val="26"/>
                <w:szCs w:val="26"/>
                <w:rtl/>
              </w:rPr>
              <w:t xml:space="preserve"> 2</w:t>
            </w:r>
            <w:r w:rsidRPr="007B3955">
              <w:rPr>
                <w:b/>
                <w:bCs/>
                <w:noProof w:val="0"/>
                <w:sz w:val="26"/>
                <w:szCs w:val="26"/>
                <w:rtl/>
              </w:rPr>
              <w:t xml:space="preserve">, </w:t>
            </w:r>
          </w:p>
          <w:p w:rsidR="002914D6" w:rsidRPr="007B3955" w:rsidRDefault="002B4F33" w:rsidP="00BD5B6B">
            <w:pPr>
              <w:rPr>
                <w:b/>
                <w:bCs/>
                <w:noProof w:val="0"/>
                <w:sz w:val="26"/>
                <w:szCs w:val="26"/>
              </w:rPr>
            </w:pPr>
            <w:r w:rsidRPr="007B3955">
              <w:rPr>
                <w:rStyle w:val="ac"/>
                <w:b/>
                <w:bCs/>
                <w:color w:val="auto"/>
                <w:sz w:val="26"/>
                <w:szCs w:val="26"/>
                <w:rtl/>
              </w:rPr>
              <w:t>3</w:t>
            </w:r>
            <w:r w:rsidRPr="007B3955">
              <w:rPr>
                <w:b/>
                <w:bCs/>
                <w:noProof w:val="0"/>
                <w:sz w:val="26"/>
                <w:szCs w:val="26"/>
                <w:rtl/>
              </w:rPr>
              <w:t xml:space="preserve">. </w:t>
            </w:r>
            <w:r w:rsidR="00790184" w:rsidRPr="007B3955">
              <w:rPr>
                <w:rStyle w:val="ac"/>
                <w:rFonts w:hint="eastAsia"/>
                <w:b/>
                <w:bCs/>
                <w:color w:val="auto"/>
                <w:sz w:val="26"/>
                <w:szCs w:val="26"/>
                <w:rtl/>
              </w:rPr>
              <w:t>התובע</w:t>
            </w:r>
            <w:r w:rsidR="00790184" w:rsidRPr="007B3955">
              <w:rPr>
                <w:rStyle w:val="ac"/>
                <w:b/>
                <w:bCs/>
                <w:color w:val="auto"/>
                <w:sz w:val="26"/>
                <w:szCs w:val="26"/>
                <w:rtl/>
              </w:rPr>
              <w:t xml:space="preserve"> 3</w:t>
            </w:r>
            <w:r w:rsidRPr="007B3955">
              <w:rPr>
                <w:b/>
                <w:bCs/>
                <w:noProof w:val="0"/>
                <w:sz w:val="26"/>
                <w:szCs w:val="26"/>
                <w:rtl/>
              </w:rPr>
              <w:t xml:space="preserve">, </w:t>
            </w:r>
          </w:p>
          <w:p w:rsidR="002914D6" w:rsidRPr="007B3955" w:rsidRDefault="002B4F33" w:rsidP="00BD5B6B">
            <w:pPr>
              <w:rPr>
                <w:b/>
                <w:bCs/>
                <w:noProof w:val="0"/>
                <w:sz w:val="26"/>
                <w:szCs w:val="26"/>
                <w:rtl/>
              </w:rPr>
            </w:pPr>
            <w:r w:rsidRPr="007B3955">
              <w:rPr>
                <w:rStyle w:val="ac"/>
                <w:b/>
                <w:bCs/>
                <w:color w:val="auto"/>
                <w:sz w:val="26"/>
                <w:szCs w:val="26"/>
                <w:rtl/>
              </w:rPr>
              <w:t>4</w:t>
            </w:r>
            <w:r w:rsidRPr="007B3955">
              <w:rPr>
                <w:b/>
                <w:bCs/>
                <w:noProof w:val="0"/>
                <w:sz w:val="26"/>
                <w:szCs w:val="26"/>
                <w:rtl/>
              </w:rPr>
              <w:t xml:space="preserve">. </w:t>
            </w:r>
            <w:r w:rsidR="00790184" w:rsidRPr="007B3955">
              <w:rPr>
                <w:rStyle w:val="ac"/>
                <w:rFonts w:hint="eastAsia"/>
                <w:b/>
                <w:bCs/>
                <w:color w:val="auto"/>
                <w:sz w:val="26"/>
                <w:szCs w:val="26"/>
                <w:rtl/>
              </w:rPr>
              <w:t>התובע</w:t>
            </w:r>
            <w:r w:rsidR="00790184" w:rsidRPr="007B3955">
              <w:rPr>
                <w:rStyle w:val="ac"/>
                <w:b/>
                <w:bCs/>
                <w:color w:val="auto"/>
                <w:sz w:val="26"/>
                <w:szCs w:val="26"/>
                <w:rtl/>
              </w:rPr>
              <w:t xml:space="preserve"> 4</w:t>
            </w:r>
            <w:r w:rsidRPr="007B3955">
              <w:rPr>
                <w:b/>
                <w:bCs/>
                <w:noProof w:val="0"/>
                <w:sz w:val="26"/>
                <w:szCs w:val="26"/>
                <w:rtl/>
              </w:rPr>
              <w:t xml:space="preserve">, </w:t>
            </w:r>
          </w:p>
          <w:p w:rsidR="003B6B3C" w:rsidRPr="007B3955" w:rsidRDefault="002B4F33" w:rsidP="00BD5B6B">
            <w:pPr>
              <w:rPr>
                <w:b/>
                <w:bCs/>
                <w:noProof w:val="0"/>
                <w:sz w:val="26"/>
                <w:szCs w:val="26"/>
              </w:rPr>
            </w:pPr>
            <w:r w:rsidRPr="007B3955">
              <w:rPr>
                <w:rFonts w:hint="eastAsia"/>
                <w:b/>
                <w:bCs/>
                <w:noProof w:val="0"/>
                <w:sz w:val="26"/>
                <w:szCs w:val="26"/>
                <w:rtl/>
              </w:rPr>
              <w:t>ע</w:t>
            </w:r>
            <w:r w:rsidRPr="007B3955">
              <w:rPr>
                <w:b/>
                <w:bCs/>
                <w:noProof w:val="0"/>
                <w:sz w:val="26"/>
                <w:szCs w:val="26"/>
                <w:rtl/>
              </w:rPr>
              <w:t xml:space="preserve">"י </w:t>
            </w:r>
            <w:r w:rsidRPr="007B3955">
              <w:rPr>
                <w:rFonts w:hint="eastAsia"/>
                <w:b/>
                <w:bCs/>
                <w:noProof w:val="0"/>
                <w:sz w:val="26"/>
                <w:szCs w:val="26"/>
                <w:rtl/>
              </w:rPr>
              <w:t>ב</w:t>
            </w:r>
            <w:r w:rsidRPr="007B3955">
              <w:rPr>
                <w:b/>
                <w:bCs/>
                <w:noProof w:val="0"/>
                <w:sz w:val="26"/>
                <w:szCs w:val="26"/>
                <w:rtl/>
              </w:rPr>
              <w:t xml:space="preserve">"כ </w:t>
            </w:r>
            <w:r w:rsidRPr="007B3955">
              <w:rPr>
                <w:rFonts w:hint="eastAsia"/>
                <w:b/>
                <w:bCs/>
                <w:noProof w:val="0"/>
                <w:sz w:val="26"/>
                <w:szCs w:val="26"/>
                <w:rtl/>
              </w:rPr>
              <w:t>עו</w:t>
            </w:r>
            <w:r w:rsidRPr="007B3955">
              <w:rPr>
                <w:b/>
                <w:bCs/>
                <w:noProof w:val="0"/>
                <w:sz w:val="26"/>
                <w:szCs w:val="26"/>
                <w:rtl/>
              </w:rPr>
              <w:t xml:space="preserve">"ד </w:t>
            </w:r>
            <w:r w:rsidRPr="007B3955">
              <w:rPr>
                <w:rFonts w:hint="eastAsia"/>
                <w:b/>
                <w:bCs/>
                <w:noProof w:val="0"/>
                <w:sz w:val="26"/>
                <w:szCs w:val="26"/>
                <w:rtl/>
              </w:rPr>
              <w:t>בסידן</w:t>
            </w:r>
            <w:r w:rsidRPr="007B3955">
              <w:rPr>
                <w:b/>
                <w:bCs/>
                <w:noProof w:val="0"/>
                <w:sz w:val="26"/>
                <w:szCs w:val="26"/>
                <w:rtl/>
              </w:rPr>
              <w:t xml:space="preserve"> </w:t>
            </w:r>
            <w:r w:rsidRPr="007B3955">
              <w:rPr>
                <w:rFonts w:hint="eastAsia"/>
                <w:b/>
                <w:bCs/>
                <w:noProof w:val="0"/>
                <w:sz w:val="26"/>
                <w:szCs w:val="26"/>
                <w:rtl/>
              </w:rPr>
              <w:t>ועו</w:t>
            </w:r>
            <w:r w:rsidRPr="007B3955">
              <w:rPr>
                <w:b/>
                <w:bCs/>
                <w:noProof w:val="0"/>
                <w:sz w:val="26"/>
                <w:szCs w:val="26"/>
                <w:rtl/>
              </w:rPr>
              <w:t xml:space="preserve">"ד </w:t>
            </w:r>
            <w:r w:rsidRPr="007B3955">
              <w:rPr>
                <w:rFonts w:hint="eastAsia"/>
                <w:b/>
                <w:bCs/>
                <w:noProof w:val="0"/>
                <w:sz w:val="26"/>
                <w:szCs w:val="26"/>
                <w:rtl/>
              </w:rPr>
              <w:t>נוריאלי</w:t>
            </w:r>
          </w:p>
        </w:tc>
      </w:tr>
      <w:tr w:rsidR="00D7377B">
        <w:trPr>
          <w:jc w:val="center"/>
        </w:trPr>
        <w:tc>
          <w:tcPr>
            <w:tcW w:w="8820" w:type="dxa"/>
            <w:gridSpan w:val="3"/>
          </w:tcPr>
          <w:p w:rsidR="002914D6" w:rsidRPr="007B3955" w:rsidRDefault="002914D6">
            <w:pPr>
              <w:rPr>
                <w:rFonts w:ascii="Arial" w:hAnsi="Arial"/>
                <w:b/>
                <w:bCs/>
                <w:noProof w:val="0"/>
                <w:sz w:val="26"/>
                <w:szCs w:val="26"/>
                <w:rtl/>
              </w:rPr>
            </w:pPr>
          </w:p>
          <w:p w:rsidR="002914D6" w:rsidRPr="007B3955" w:rsidRDefault="002B4F33">
            <w:pPr>
              <w:jc w:val="center"/>
              <w:rPr>
                <w:rFonts w:ascii="Arial" w:hAnsi="Arial"/>
                <w:b/>
                <w:bCs/>
                <w:noProof w:val="0"/>
                <w:sz w:val="26"/>
                <w:szCs w:val="26"/>
                <w:rtl/>
              </w:rPr>
            </w:pPr>
            <w:r w:rsidRPr="007B3955">
              <w:rPr>
                <w:rFonts w:ascii="Arial" w:hAnsi="Arial"/>
                <w:b/>
                <w:bCs/>
                <w:noProof w:val="0"/>
                <w:sz w:val="26"/>
                <w:szCs w:val="26"/>
                <w:rtl/>
              </w:rPr>
              <w:t>נגד</w:t>
            </w:r>
          </w:p>
          <w:p w:rsidR="002914D6" w:rsidRPr="007B3955" w:rsidRDefault="002914D6">
            <w:pPr>
              <w:rPr>
                <w:rFonts w:ascii="Arial" w:hAnsi="Arial"/>
                <w:b/>
                <w:bCs/>
                <w:noProof w:val="0"/>
                <w:sz w:val="26"/>
                <w:szCs w:val="26"/>
              </w:rPr>
            </w:pPr>
          </w:p>
        </w:tc>
      </w:tr>
      <w:tr w:rsidR="00D7377B">
        <w:trPr>
          <w:jc w:val="center"/>
        </w:trPr>
        <w:tc>
          <w:tcPr>
            <w:tcW w:w="3249" w:type="dxa"/>
            <w:gridSpan w:val="2"/>
          </w:tcPr>
          <w:p w:rsidR="002914D6" w:rsidRPr="007B3955" w:rsidRDefault="002B4F33">
            <w:pPr>
              <w:rPr>
                <w:rFonts w:ascii="Arial" w:hAnsi="Arial"/>
                <w:b/>
                <w:bCs/>
                <w:noProof w:val="0"/>
                <w:sz w:val="26"/>
                <w:szCs w:val="26"/>
                <w:rtl/>
              </w:rPr>
            </w:pPr>
            <w:r w:rsidRPr="007B3955">
              <w:rPr>
                <w:rFonts w:ascii="Arial" w:hAnsi="Arial" w:hint="eastAsia"/>
                <w:b/>
                <w:bCs/>
                <w:noProof w:val="0"/>
                <w:sz w:val="26"/>
                <w:szCs w:val="26"/>
                <w:u w:val="single"/>
                <w:rtl/>
              </w:rPr>
              <w:t>הנתבעים</w:t>
            </w:r>
            <w:r w:rsidRPr="007B3955">
              <w:rPr>
                <w:rFonts w:ascii="Arial" w:hAnsi="Arial"/>
                <w:b/>
                <w:bCs/>
                <w:noProof w:val="0"/>
                <w:sz w:val="26"/>
                <w:szCs w:val="26"/>
                <w:rtl/>
              </w:rPr>
              <w:t>:</w:t>
            </w:r>
          </w:p>
          <w:p w:rsidR="002914D6" w:rsidRPr="007B3955" w:rsidRDefault="002914D6" w:rsidP="003B6B3C">
            <w:pPr>
              <w:rPr>
                <w:rFonts w:ascii="Arial" w:hAnsi="Arial"/>
                <w:b/>
                <w:bCs/>
                <w:noProof w:val="0"/>
                <w:sz w:val="26"/>
                <w:szCs w:val="26"/>
              </w:rPr>
            </w:pPr>
          </w:p>
        </w:tc>
        <w:tc>
          <w:tcPr>
            <w:tcW w:w="5571" w:type="dxa"/>
          </w:tcPr>
          <w:p w:rsidR="002914D6" w:rsidRPr="007B3955" w:rsidRDefault="002B4F33" w:rsidP="00BD5B6B">
            <w:pPr>
              <w:rPr>
                <w:b/>
                <w:bCs/>
                <w:noProof w:val="0"/>
                <w:sz w:val="26"/>
                <w:szCs w:val="26"/>
                <w:rtl/>
              </w:rPr>
            </w:pPr>
            <w:r w:rsidRPr="007B3955">
              <w:rPr>
                <w:rStyle w:val="ac"/>
                <w:b/>
                <w:bCs/>
                <w:color w:val="auto"/>
                <w:sz w:val="26"/>
                <w:szCs w:val="26"/>
                <w:rtl/>
              </w:rPr>
              <w:t>1</w:t>
            </w:r>
            <w:r w:rsidRPr="007B3955">
              <w:rPr>
                <w:b/>
                <w:bCs/>
                <w:noProof w:val="0"/>
                <w:sz w:val="26"/>
                <w:szCs w:val="26"/>
                <w:rtl/>
              </w:rPr>
              <w:t xml:space="preserve">. </w:t>
            </w:r>
            <w:r w:rsidR="00790184" w:rsidRPr="007B3955">
              <w:rPr>
                <w:rStyle w:val="ac"/>
                <w:rFonts w:hint="eastAsia"/>
                <w:b/>
                <w:bCs/>
                <w:color w:val="auto"/>
                <w:sz w:val="26"/>
                <w:szCs w:val="26"/>
                <w:rtl/>
              </w:rPr>
              <w:t>הנתבעת</w:t>
            </w:r>
            <w:r w:rsidRPr="007B3955">
              <w:rPr>
                <w:b/>
                <w:bCs/>
                <w:noProof w:val="0"/>
                <w:sz w:val="26"/>
                <w:szCs w:val="26"/>
                <w:rtl/>
              </w:rPr>
              <w:t xml:space="preserve">, </w:t>
            </w:r>
          </w:p>
          <w:p w:rsidR="002914D6" w:rsidRPr="007B3955" w:rsidRDefault="002B4F33" w:rsidP="00BD5B6B">
            <w:pPr>
              <w:rPr>
                <w:rStyle w:val="ac"/>
                <w:b/>
                <w:bCs/>
                <w:color w:val="auto"/>
                <w:sz w:val="26"/>
                <w:szCs w:val="26"/>
                <w:rtl/>
              </w:rPr>
            </w:pPr>
            <w:r w:rsidRPr="007B3955">
              <w:rPr>
                <w:rStyle w:val="ac"/>
                <w:b/>
                <w:bCs/>
                <w:color w:val="auto"/>
                <w:sz w:val="26"/>
                <w:szCs w:val="26"/>
                <w:rtl/>
              </w:rPr>
              <w:t>2</w:t>
            </w:r>
            <w:r w:rsidRPr="007B3955">
              <w:rPr>
                <w:b/>
                <w:bCs/>
                <w:noProof w:val="0"/>
                <w:sz w:val="26"/>
                <w:szCs w:val="26"/>
                <w:rtl/>
              </w:rPr>
              <w:t xml:space="preserve">. </w:t>
            </w:r>
            <w:r w:rsidR="00790184" w:rsidRPr="007B3955">
              <w:rPr>
                <w:rStyle w:val="ac"/>
                <w:rFonts w:hint="eastAsia"/>
                <w:b/>
                <w:bCs/>
                <w:color w:val="auto"/>
                <w:sz w:val="26"/>
                <w:szCs w:val="26"/>
                <w:rtl/>
              </w:rPr>
              <w:t>הנתבע</w:t>
            </w:r>
            <w:r w:rsidRPr="007B3955">
              <w:rPr>
                <w:b/>
                <w:bCs/>
                <w:noProof w:val="0"/>
                <w:sz w:val="26"/>
                <w:szCs w:val="26"/>
                <w:rtl/>
              </w:rPr>
              <w:t xml:space="preserve">, </w:t>
            </w:r>
          </w:p>
          <w:p w:rsidR="003B6B3C" w:rsidRPr="007B3955" w:rsidRDefault="002B4F33" w:rsidP="00BD5B6B">
            <w:pPr>
              <w:rPr>
                <w:b/>
                <w:bCs/>
                <w:noProof w:val="0"/>
                <w:sz w:val="26"/>
                <w:szCs w:val="26"/>
                <w:rtl/>
              </w:rPr>
            </w:pPr>
            <w:r w:rsidRPr="007B3955">
              <w:rPr>
                <w:rFonts w:hint="eastAsia"/>
                <w:b/>
                <w:bCs/>
                <w:noProof w:val="0"/>
                <w:sz w:val="26"/>
                <w:szCs w:val="26"/>
                <w:rtl/>
              </w:rPr>
              <w:t>ע</w:t>
            </w:r>
            <w:r w:rsidRPr="007B3955">
              <w:rPr>
                <w:b/>
                <w:bCs/>
                <w:noProof w:val="0"/>
                <w:sz w:val="26"/>
                <w:szCs w:val="26"/>
                <w:rtl/>
              </w:rPr>
              <w:t xml:space="preserve">"י </w:t>
            </w:r>
            <w:r w:rsidRPr="007B3955">
              <w:rPr>
                <w:rFonts w:hint="eastAsia"/>
                <w:b/>
                <w:bCs/>
                <w:noProof w:val="0"/>
                <w:sz w:val="26"/>
                <w:szCs w:val="26"/>
                <w:rtl/>
              </w:rPr>
              <w:t>ב</w:t>
            </w:r>
            <w:r w:rsidRPr="007B3955">
              <w:rPr>
                <w:b/>
                <w:bCs/>
                <w:noProof w:val="0"/>
                <w:sz w:val="26"/>
                <w:szCs w:val="26"/>
                <w:rtl/>
              </w:rPr>
              <w:t xml:space="preserve">"כ </w:t>
            </w:r>
            <w:r w:rsidRPr="007B3955">
              <w:rPr>
                <w:rFonts w:hint="eastAsia"/>
                <w:b/>
                <w:bCs/>
                <w:noProof w:val="0"/>
                <w:sz w:val="26"/>
                <w:szCs w:val="26"/>
                <w:rtl/>
              </w:rPr>
              <w:t>עו</w:t>
            </w:r>
            <w:r w:rsidRPr="007B3955">
              <w:rPr>
                <w:b/>
                <w:bCs/>
                <w:noProof w:val="0"/>
                <w:sz w:val="26"/>
                <w:szCs w:val="26"/>
                <w:rtl/>
              </w:rPr>
              <w:t xml:space="preserve">"ד </w:t>
            </w:r>
            <w:r w:rsidRPr="007B3955">
              <w:rPr>
                <w:rFonts w:hint="eastAsia"/>
                <w:b/>
                <w:bCs/>
                <w:noProof w:val="0"/>
                <w:sz w:val="26"/>
                <w:szCs w:val="26"/>
                <w:rtl/>
              </w:rPr>
              <w:t>קוסטיקה</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7377B">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2B4F33">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3B6B3C" w:rsidRDefault="002B4F33" w:rsidP="003B6B3C">
      <w:pPr>
        <w:pStyle w:val="ad"/>
        <w:numPr>
          <w:ilvl w:val="3"/>
          <w:numId w:val="1"/>
        </w:numPr>
        <w:spacing w:line="360" w:lineRule="auto"/>
        <w:jc w:val="both"/>
        <w:rPr>
          <w:rFonts w:ascii="David" w:hAnsi="David"/>
        </w:rPr>
      </w:pPr>
      <w:r>
        <w:rPr>
          <w:rFonts w:ascii="David" w:hAnsi="David"/>
          <w:rtl/>
        </w:rPr>
        <w:t xml:space="preserve">עניינו של פסק הדין הוא הכרעה בתביעת התובעים לביטול העברה ללא תמורה של דירת המגורים של האב המנוח לנתבעת. </w:t>
      </w:r>
    </w:p>
    <w:p w:rsidR="003B6B3C" w:rsidRDefault="002B4F33" w:rsidP="003B6B3C">
      <w:pPr>
        <w:pStyle w:val="ad"/>
        <w:spacing w:line="360" w:lineRule="auto"/>
        <w:ind w:left="567"/>
        <w:jc w:val="both"/>
        <w:rPr>
          <w:rFonts w:ascii="David" w:hAnsi="David"/>
        </w:rPr>
      </w:pPr>
      <w:r>
        <w:rPr>
          <w:rFonts w:ascii="David" w:hAnsi="David"/>
          <w:rtl/>
        </w:rPr>
        <w:t>כמו כן עותרים התובעים כי יינתן פסק דין הצהרתי כי 3 דירות הרשומות ע"ש הנתבעים (באותו בניין בו מצויה דירת המגורים שאת ההעברה לגביה מבוקש לבטל) – שייכות למעשה לעיזבון האב המנוח.</w:t>
      </w:r>
    </w:p>
    <w:p w:rsidR="003B6B3C" w:rsidRDefault="003B6B3C" w:rsidP="003B6B3C">
      <w:pPr>
        <w:spacing w:line="360" w:lineRule="auto"/>
        <w:jc w:val="both"/>
        <w:rPr>
          <w:rFonts w:ascii="David" w:hAnsi="David"/>
          <w:b/>
          <w:bCs/>
        </w:rPr>
      </w:pPr>
    </w:p>
    <w:p w:rsidR="003B6B3C" w:rsidRDefault="002B4F33" w:rsidP="003B6B3C">
      <w:pPr>
        <w:pStyle w:val="ad"/>
        <w:numPr>
          <w:ilvl w:val="0"/>
          <w:numId w:val="2"/>
        </w:numPr>
        <w:spacing w:line="360" w:lineRule="auto"/>
        <w:ind w:left="567" w:hanging="567"/>
        <w:jc w:val="both"/>
        <w:rPr>
          <w:rFonts w:ascii="David" w:hAnsi="David"/>
          <w:b/>
          <w:bCs/>
          <w:sz w:val="28"/>
          <w:szCs w:val="28"/>
          <w:u w:val="single"/>
          <w:rtl/>
        </w:rPr>
      </w:pPr>
      <w:r>
        <w:rPr>
          <w:rFonts w:ascii="David" w:hAnsi="David"/>
          <w:b/>
          <w:bCs/>
          <w:sz w:val="28"/>
          <w:szCs w:val="28"/>
          <w:u w:val="single"/>
          <w:rtl/>
        </w:rPr>
        <w:t>רקע עובדתי והליכים משפטיים</w:t>
      </w:r>
    </w:p>
    <w:p w:rsidR="003B6B3C" w:rsidRDefault="003B6B3C" w:rsidP="003B6B3C">
      <w:pPr>
        <w:pStyle w:val="ad"/>
        <w:spacing w:line="360" w:lineRule="auto"/>
        <w:ind w:left="567"/>
        <w:jc w:val="both"/>
        <w:rPr>
          <w:rFonts w:ascii="David" w:hAnsi="David"/>
          <w:b/>
          <w:bCs/>
          <w:sz w:val="28"/>
          <w:szCs w:val="28"/>
          <w:u w:val="single"/>
        </w:rPr>
      </w:pPr>
    </w:p>
    <w:p w:rsidR="003B6B3C" w:rsidRDefault="002B4F33" w:rsidP="003B6B3C">
      <w:pPr>
        <w:pStyle w:val="ad"/>
        <w:numPr>
          <w:ilvl w:val="3"/>
          <w:numId w:val="1"/>
        </w:numPr>
        <w:spacing w:line="360" w:lineRule="auto"/>
        <w:jc w:val="both"/>
        <w:rPr>
          <w:rFonts w:ascii="David" w:hAnsi="David"/>
          <w:b/>
          <w:bCs/>
          <w:u w:val="single"/>
        </w:rPr>
      </w:pPr>
      <w:r>
        <w:rPr>
          <w:rFonts w:ascii="David" w:hAnsi="David"/>
          <w:rtl/>
        </w:rPr>
        <w:t>הצדדים להליך: התובעים והנתבעת הם אחים. הנתבע הוא בעלה של הנתבעת וגיסם של התובעים.</w:t>
      </w:r>
    </w:p>
    <w:p w:rsidR="003B6B3C" w:rsidRDefault="003B6B3C" w:rsidP="003B6B3C">
      <w:pPr>
        <w:pStyle w:val="ad"/>
        <w:spacing w:line="360" w:lineRule="auto"/>
        <w:ind w:left="567"/>
        <w:jc w:val="both"/>
        <w:rPr>
          <w:rFonts w:ascii="David" w:hAnsi="David"/>
          <w:b/>
          <w:bCs/>
          <w:u w:val="single"/>
        </w:rPr>
      </w:pPr>
    </w:p>
    <w:p w:rsidR="003B6B3C" w:rsidRDefault="002B4F33" w:rsidP="003B6B3C">
      <w:pPr>
        <w:pStyle w:val="ad"/>
        <w:numPr>
          <w:ilvl w:val="3"/>
          <w:numId w:val="1"/>
        </w:numPr>
        <w:spacing w:line="360" w:lineRule="auto"/>
        <w:jc w:val="both"/>
        <w:rPr>
          <w:rFonts w:ascii="David" w:hAnsi="David"/>
          <w:b/>
          <w:bCs/>
          <w:u w:val="single"/>
        </w:rPr>
      </w:pPr>
      <w:r>
        <w:rPr>
          <w:rFonts w:ascii="David" w:hAnsi="David"/>
          <w:rtl/>
        </w:rPr>
        <w:t>התובעים והנתבעת הם ילדיהם של האם המנוחה שנפטרה בשנת 2007 (להלן: "</w:t>
      </w:r>
      <w:r>
        <w:rPr>
          <w:rFonts w:ascii="David" w:hAnsi="David"/>
          <w:b/>
          <w:bCs/>
          <w:rtl/>
        </w:rPr>
        <w:t>האם</w:t>
      </w:r>
      <w:r>
        <w:rPr>
          <w:rFonts w:ascii="David" w:hAnsi="David"/>
          <w:rtl/>
        </w:rPr>
        <w:t>" ו/או "</w:t>
      </w:r>
      <w:r>
        <w:rPr>
          <w:rFonts w:ascii="David" w:hAnsi="David"/>
          <w:b/>
          <w:bCs/>
          <w:rtl/>
        </w:rPr>
        <w:t>האם המנוחה</w:t>
      </w:r>
      <w:r>
        <w:rPr>
          <w:rFonts w:ascii="David" w:hAnsi="David"/>
          <w:rtl/>
        </w:rPr>
        <w:t>") ושל האב המנוח שנפטר ביום  29.10.2020 (להלן: "</w:t>
      </w:r>
      <w:r>
        <w:rPr>
          <w:rFonts w:ascii="David" w:hAnsi="David"/>
          <w:b/>
          <w:bCs/>
          <w:rtl/>
        </w:rPr>
        <w:t>האב</w:t>
      </w:r>
      <w:r>
        <w:rPr>
          <w:rFonts w:ascii="David" w:hAnsi="David"/>
          <w:rtl/>
        </w:rPr>
        <w:t>" ו/או "</w:t>
      </w:r>
      <w:r>
        <w:rPr>
          <w:rFonts w:ascii="David" w:hAnsi="David"/>
          <w:b/>
          <w:bCs/>
          <w:rtl/>
        </w:rPr>
        <w:t>האב המנוח</w:t>
      </w:r>
      <w:r>
        <w:rPr>
          <w:rFonts w:ascii="David" w:hAnsi="David"/>
          <w:rtl/>
        </w:rPr>
        <w:t>").</w:t>
      </w:r>
    </w:p>
    <w:p w:rsidR="003B6B3C" w:rsidRDefault="003B6B3C" w:rsidP="003B6B3C">
      <w:pPr>
        <w:pStyle w:val="ad"/>
        <w:spacing w:line="360" w:lineRule="auto"/>
        <w:ind w:left="567"/>
        <w:jc w:val="both"/>
        <w:rPr>
          <w:rFonts w:ascii="David" w:hAnsi="David"/>
          <w:b/>
          <w:bCs/>
          <w:u w:val="single"/>
        </w:rPr>
      </w:pPr>
    </w:p>
    <w:p w:rsidR="003B6B3C" w:rsidRDefault="002B4F33" w:rsidP="003B6B3C">
      <w:pPr>
        <w:pStyle w:val="ad"/>
        <w:numPr>
          <w:ilvl w:val="3"/>
          <w:numId w:val="1"/>
        </w:numPr>
        <w:spacing w:line="360" w:lineRule="auto"/>
        <w:jc w:val="both"/>
        <w:rPr>
          <w:rFonts w:ascii="David" w:hAnsi="David"/>
          <w:b/>
          <w:bCs/>
          <w:u w:val="single"/>
        </w:rPr>
      </w:pPr>
      <w:r>
        <w:rPr>
          <w:rFonts w:ascii="David" w:hAnsi="David"/>
          <w:rtl/>
        </w:rPr>
        <w:t xml:space="preserve">בבעלות ההורים המנוחים הייתה דירת מגורים ברח' </w:t>
      </w:r>
      <w:r w:rsidR="00790184">
        <w:rPr>
          <w:rFonts w:ascii="David" w:hAnsi="David" w:hint="cs"/>
          <w:rtl/>
        </w:rPr>
        <w:t>*** ב****</w:t>
      </w:r>
      <w:r>
        <w:rPr>
          <w:rFonts w:ascii="David" w:hAnsi="David"/>
          <w:rtl/>
        </w:rPr>
        <w:t xml:space="preserve">  הידועה כגוש </w:t>
      </w:r>
      <w:r w:rsidR="00790184">
        <w:rPr>
          <w:rFonts w:ascii="David" w:hAnsi="David"/>
        </w:rPr>
        <w:t>XXXX</w:t>
      </w:r>
      <w:r>
        <w:rPr>
          <w:rFonts w:ascii="David" w:hAnsi="David"/>
          <w:rtl/>
        </w:rPr>
        <w:t xml:space="preserve">, חלקה </w:t>
      </w:r>
      <w:r w:rsidR="00790184">
        <w:rPr>
          <w:rFonts w:ascii="David" w:hAnsi="David"/>
        </w:rPr>
        <w:t xml:space="preserve">XX </w:t>
      </w:r>
      <w:r w:rsidR="00790184">
        <w:rPr>
          <w:rFonts w:ascii="David" w:hAnsi="David"/>
          <w:rtl/>
        </w:rPr>
        <w:t xml:space="preserve"> </w:t>
      </w:r>
      <w:r>
        <w:rPr>
          <w:rFonts w:ascii="David" w:hAnsi="David"/>
          <w:rtl/>
        </w:rPr>
        <w:t xml:space="preserve">תת חלקה </w:t>
      </w:r>
      <w:r w:rsidR="00790184">
        <w:rPr>
          <w:rFonts w:ascii="David" w:hAnsi="David"/>
        </w:rPr>
        <w:t>XX</w:t>
      </w:r>
      <w:r w:rsidR="00790184">
        <w:rPr>
          <w:rFonts w:ascii="David" w:hAnsi="David"/>
          <w:rtl/>
        </w:rPr>
        <w:t xml:space="preserve"> </w:t>
      </w:r>
      <w:r>
        <w:rPr>
          <w:rFonts w:ascii="David" w:hAnsi="David"/>
          <w:rtl/>
        </w:rPr>
        <w:t>(להלן: "</w:t>
      </w:r>
      <w:r>
        <w:rPr>
          <w:rFonts w:ascii="David" w:hAnsi="David"/>
          <w:b/>
          <w:bCs/>
          <w:rtl/>
        </w:rPr>
        <w:t>דירת</w:t>
      </w:r>
      <w:r>
        <w:rPr>
          <w:rFonts w:ascii="David" w:hAnsi="David"/>
          <w:rtl/>
        </w:rPr>
        <w:t xml:space="preserve"> </w:t>
      </w:r>
      <w:r>
        <w:rPr>
          <w:rFonts w:ascii="David" w:hAnsi="David"/>
          <w:b/>
          <w:bCs/>
          <w:rtl/>
        </w:rPr>
        <w:t>המגורים</w:t>
      </w:r>
      <w:r>
        <w:rPr>
          <w:rFonts w:ascii="David" w:hAnsi="David"/>
          <w:rtl/>
        </w:rPr>
        <w:t>" ו/או "</w:t>
      </w:r>
      <w:r>
        <w:rPr>
          <w:rFonts w:ascii="David" w:hAnsi="David"/>
          <w:b/>
          <w:bCs/>
          <w:rtl/>
        </w:rPr>
        <w:t>הדירה</w:t>
      </w:r>
      <w:r>
        <w:rPr>
          <w:rFonts w:ascii="David" w:hAnsi="David"/>
          <w:rtl/>
        </w:rPr>
        <w:t xml:space="preserve">"), אשר הייתה רשומה בחלקים שווים על שם שניהם. </w:t>
      </w:r>
    </w:p>
    <w:p w:rsidR="003B6B3C" w:rsidRDefault="003B6B3C" w:rsidP="003B6B3C">
      <w:pPr>
        <w:pStyle w:val="ad"/>
        <w:spacing w:line="360" w:lineRule="auto"/>
        <w:ind w:left="567"/>
        <w:jc w:val="both"/>
        <w:rPr>
          <w:rFonts w:ascii="David" w:hAnsi="David"/>
          <w:b/>
          <w:bCs/>
          <w:u w:val="single"/>
        </w:rPr>
      </w:pPr>
    </w:p>
    <w:p w:rsidR="003B6B3C" w:rsidRDefault="002B4F33" w:rsidP="003B6B3C">
      <w:pPr>
        <w:pStyle w:val="ad"/>
        <w:numPr>
          <w:ilvl w:val="3"/>
          <w:numId w:val="1"/>
        </w:numPr>
        <w:spacing w:line="360" w:lineRule="auto"/>
        <w:jc w:val="both"/>
        <w:rPr>
          <w:rFonts w:ascii="David" w:hAnsi="David"/>
          <w:b/>
          <w:bCs/>
          <w:u w:val="single"/>
        </w:rPr>
      </w:pPr>
      <w:r>
        <w:rPr>
          <w:rFonts w:ascii="David" w:hAnsi="David"/>
          <w:rtl/>
        </w:rPr>
        <w:t xml:space="preserve">בשנת 2007, לאחר מות האם המנוחה, עברו הנתבעים להתגורר בדירה יחד עם האב. </w:t>
      </w:r>
    </w:p>
    <w:p w:rsidR="003B6B3C" w:rsidRDefault="003B6B3C" w:rsidP="003B6B3C">
      <w:pPr>
        <w:pStyle w:val="ad"/>
        <w:rPr>
          <w:rFonts w:ascii="David" w:hAnsi="David"/>
          <w:b/>
          <w:bCs/>
          <w:u w:val="single"/>
        </w:rPr>
      </w:pPr>
    </w:p>
    <w:p w:rsidR="003B6B3C" w:rsidRDefault="002B4F33" w:rsidP="003B6B3C">
      <w:pPr>
        <w:pStyle w:val="ad"/>
        <w:numPr>
          <w:ilvl w:val="3"/>
          <w:numId w:val="1"/>
        </w:numPr>
        <w:spacing w:line="360" w:lineRule="auto"/>
        <w:jc w:val="both"/>
        <w:rPr>
          <w:rFonts w:ascii="David" w:hAnsi="David"/>
          <w:rtl/>
        </w:rPr>
      </w:pPr>
      <w:r>
        <w:rPr>
          <w:rFonts w:ascii="David" w:hAnsi="David"/>
          <w:rtl/>
        </w:rPr>
        <w:lastRenderedPageBreak/>
        <w:t xml:space="preserve">ביום 30.9.2012 חתמו התובעים והנתבעת על הסתלקות לטובת האב בעיזבון האם המנוחה. בהמשך לכך מלוא הזכויות בדירה הועברו על שם האב. לא צורפו מסמכים אך כל הצדדים אישרו מועד זה ואת הפעולה במשותף. </w:t>
      </w:r>
    </w:p>
    <w:p w:rsidR="003B6B3C" w:rsidRDefault="003B6B3C" w:rsidP="003B6B3C">
      <w:pPr>
        <w:pStyle w:val="ad"/>
        <w:rPr>
          <w:rFonts w:ascii="David" w:hAnsi="David"/>
        </w:rPr>
      </w:pPr>
    </w:p>
    <w:p w:rsidR="003B6B3C" w:rsidRDefault="002B4F33" w:rsidP="003B6B3C">
      <w:pPr>
        <w:pStyle w:val="ad"/>
        <w:numPr>
          <w:ilvl w:val="3"/>
          <w:numId w:val="1"/>
        </w:numPr>
        <w:spacing w:line="360" w:lineRule="auto"/>
        <w:jc w:val="both"/>
        <w:rPr>
          <w:rFonts w:ascii="David" w:hAnsi="David"/>
          <w:rtl/>
        </w:rPr>
      </w:pPr>
      <w:r>
        <w:rPr>
          <w:rFonts w:ascii="David" w:hAnsi="David"/>
          <w:rtl/>
        </w:rPr>
        <w:t>התובעים מציינים כי התובע 2 קיבל מהאב זכויות בשני מגרשים ב</w:t>
      </w:r>
      <w:r w:rsidR="00790184">
        <w:rPr>
          <w:rFonts w:ascii="David" w:hAnsi="David" w:hint="cs"/>
          <w:rtl/>
        </w:rPr>
        <w:t>****</w:t>
      </w:r>
      <w:r>
        <w:rPr>
          <w:rFonts w:ascii="David" w:hAnsi="David"/>
          <w:rtl/>
        </w:rPr>
        <w:t>(צורפו מסמכים בנספח 9 לכתב התביעה) (להלן: "</w:t>
      </w:r>
      <w:r>
        <w:rPr>
          <w:rFonts w:ascii="David" w:hAnsi="David"/>
          <w:b/>
          <w:bCs/>
          <w:rtl/>
        </w:rPr>
        <w:t>המגרשים</w:t>
      </w:r>
      <w:r>
        <w:rPr>
          <w:rFonts w:ascii="David" w:hAnsi="David"/>
          <w:rtl/>
        </w:rPr>
        <w:t xml:space="preserve">"). לטענתו של התובע 2 הוא שילם חובות שרבצו על המגרשים. בכתב התביעה ציין התובע 2 כי הוא מסכים כי זכויות אלה יחזרו לעיזבונו של האב המנוח יחד עם הנכסים שהועברו לנתבעים. הנתבעת צירפה את הסכם מיום 28.3.2012 בין המנוח לתובעים 1-2 לגבי המגרשים וכן יפוי כוח בלתי חוזר שנחתם על ידי המנוח ותצהיר העברה (נספח 1 לתצע"ר נתבעת). </w:t>
      </w:r>
    </w:p>
    <w:p w:rsidR="003B6B3C" w:rsidRDefault="003B6B3C" w:rsidP="003B6B3C">
      <w:pPr>
        <w:pStyle w:val="ad"/>
        <w:rPr>
          <w:rFonts w:ascii="David" w:hAnsi="David"/>
        </w:rPr>
      </w:pPr>
    </w:p>
    <w:p w:rsidR="003B6B3C" w:rsidRDefault="002B4F33" w:rsidP="003B6B3C">
      <w:pPr>
        <w:pStyle w:val="ad"/>
        <w:numPr>
          <w:ilvl w:val="3"/>
          <w:numId w:val="1"/>
        </w:numPr>
        <w:spacing w:line="360" w:lineRule="auto"/>
        <w:jc w:val="both"/>
        <w:rPr>
          <w:rFonts w:ascii="David" w:hAnsi="David"/>
          <w:rtl/>
        </w:rPr>
      </w:pPr>
      <w:r>
        <w:rPr>
          <w:rFonts w:ascii="David" w:hAnsi="David"/>
          <w:rtl/>
        </w:rPr>
        <w:t xml:space="preserve">עם זאת אין מחלוקת כי הקונפליקט המשפחתי לגבי המגרשים התעורר בשנת 2014 ובמלוא העוז. לטענת הנתבעת זה הרקע להעברת דירת המגורים מהאב אליה במתנה. </w:t>
      </w:r>
    </w:p>
    <w:p w:rsidR="003B6B3C" w:rsidRDefault="003B6B3C" w:rsidP="003B6B3C">
      <w:pPr>
        <w:pStyle w:val="ad"/>
        <w:rPr>
          <w:rFonts w:ascii="David" w:hAnsi="David"/>
        </w:rPr>
      </w:pPr>
    </w:p>
    <w:p w:rsidR="003B6B3C" w:rsidRDefault="002B4F33" w:rsidP="003B6B3C">
      <w:pPr>
        <w:pStyle w:val="ad"/>
        <w:numPr>
          <w:ilvl w:val="3"/>
          <w:numId w:val="1"/>
        </w:numPr>
        <w:spacing w:line="360" w:lineRule="auto"/>
        <w:jc w:val="both"/>
        <w:rPr>
          <w:rFonts w:ascii="David" w:hAnsi="David"/>
          <w:rtl/>
        </w:rPr>
      </w:pPr>
      <w:r>
        <w:rPr>
          <w:rFonts w:ascii="David" w:hAnsi="David"/>
          <w:rtl/>
        </w:rPr>
        <w:t xml:space="preserve">ביום 8.2.2015 נחתמו מסמכי העברת זכויות בדירת המגורים מהאב לנתבעת במתנה. צורפו הצהרות למיסוי מקרקעין, יפוי כוח בלתי חוזר של האב לביצוע ההעברה (נספח 9 לתצע"ר נתבעת). </w:t>
      </w:r>
    </w:p>
    <w:p w:rsidR="003B6B3C" w:rsidRDefault="002B4F33" w:rsidP="003B6B3C">
      <w:pPr>
        <w:pStyle w:val="ad"/>
        <w:spacing w:line="360" w:lineRule="auto"/>
        <w:ind w:left="567"/>
        <w:jc w:val="both"/>
        <w:rPr>
          <w:rFonts w:ascii="David" w:hAnsi="David"/>
        </w:rPr>
      </w:pPr>
      <w:r>
        <w:rPr>
          <w:rFonts w:ascii="David" w:hAnsi="David"/>
          <w:rtl/>
        </w:rPr>
        <w:t xml:space="preserve">בחודש 5/2016 נחתם שטר המכר (צורף כנספח 9 לתצע"ר נתבעת). </w:t>
      </w:r>
    </w:p>
    <w:p w:rsidR="003B6B3C" w:rsidRDefault="002B4F33" w:rsidP="003B6B3C">
      <w:pPr>
        <w:pStyle w:val="ad"/>
        <w:spacing w:line="360" w:lineRule="auto"/>
        <w:ind w:left="567"/>
        <w:jc w:val="both"/>
        <w:rPr>
          <w:rFonts w:ascii="David" w:hAnsi="David"/>
        </w:rPr>
      </w:pPr>
      <w:r>
        <w:rPr>
          <w:rFonts w:ascii="David" w:hAnsi="David"/>
          <w:rtl/>
        </w:rPr>
        <w:t xml:space="preserve">ביום 30.5.2016 נרשמה העברת הזכויות בדירה לנתבעת בהעברה ללא תמורה (נסח טאבו צורף נספח 5 לכתב התביעה). </w:t>
      </w:r>
    </w:p>
    <w:p w:rsidR="003B6B3C" w:rsidRDefault="002B4F33" w:rsidP="003B6B3C">
      <w:pPr>
        <w:pStyle w:val="ad"/>
        <w:spacing w:line="360" w:lineRule="auto"/>
        <w:ind w:left="567"/>
        <w:jc w:val="both"/>
        <w:rPr>
          <w:rFonts w:ascii="David" w:hAnsi="David"/>
          <w:rtl/>
        </w:rPr>
      </w:pPr>
      <w:r>
        <w:rPr>
          <w:rFonts w:ascii="David" w:hAnsi="David"/>
          <w:rtl/>
        </w:rPr>
        <w:t>הדירה נרשמה בעקבות כך על שם הנתבעת בלבד.</w:t>
      </w:r>
    </w:p>
    <w:p w:rsidR="003B6B3C" w:rsidRDefault="003B6B3C" w:rsidP="003B6B3C">
      <w:pPr>
        <w:pStyle w:val="ad"/>
        <w:rPr>
          <w:rFonts w:ascii="David" w:hAnsi="David"/>
        </w:rPr>
      </w:pPr>
    </w:p>
    <w:p w:rsidR="003B6B3C" w:rsidRDefault="002B4F33" w:rsidP="003B6B3C">
      <w:pPr>
        <w:pStyle w:val="ad"/>
        <w:numPr>
          <w:ilvl w:val="3"/>
          <w:numId w:val="1"/>
        </w:numPr>
        <w:spacing w:line="360" w:lineRule="auto"/>
        <w:jc w:val="both"/>
        <w:rPr>
          <w:rFonts w:ascii="David" w:hAnsi="David"/>
          <w:rtl/>
        </w:rPr>
      </w:pPr>
      <w:r>
        <w:rPr>
          <w:rFonts w:ascii="David" w:hAnsi="David"/>
          <w:rtl/>
        </w:rPr>
        <w:t xml:space="preserve">בנוסף, ע"ש הנתבעים 3 דירות בבניין בו שוכנת דירת המגורים ברח' </w:t>
      </w:r>
      <w:r w:rsidR="00790184">
        <w:rPr>
          <w:rFonts w:ascii="David" w:hAnsi="David" w:hint="cs"/>
          <w:rtl/>
        </w:rPr>
        <w:t>***</w:t>
      </w:r>
      <w:r>
        <w:rPr>
          <w:rFonts w:ascii="David" w:hAnsi="David"/>
          <w:rtl/>
        </w:rPr>
        <w:t xml:space="preserve"> ב</w:t>
      </w:r>
      <w:r w:rsidR="00790184">
        <w:rPr>
          <w:rFonts w:ascii="David" w:hAnsi="David" w:hint="cs"/>
          <w:rtl/>
        </w:rPr>
        <w:t xml:space="preserve">*** </w:t>
      </w:r>
      <w:r>
        <w:rPr>
          <w:rFonts w:ascii="David" w:hAnsi="David"/>
          <w:rtl/>
        </w:rPr>
        <w:t xml:space="preserve">(נסח טאבו מרוכז של הבניין צורף כנספח 3 לכתב התביעה): דירות תת חלקה </w:t>
      </w:r>
      <w:r w:rsidR="00790184">
        <w:rPr>
          <w:rFonts w:ascii="David" w:hAnsi="David"/>
        </w:rPr>
        <w:t>X</w:t>
      </w:r>
      <w:r>
        <w:rPr>
          <w:rFonts w:ascii="David" w:hAnsi="David"/>
          <w:rtl/>
        </w:rPr>
        <w:t xml:space="preserve">, תת חלקה </w:t>
      </w:r>
      <w:r w:rsidR="00790184">
        <w:rPr>
          <w:rFonts w:ascii="David" w:hAnsi="David"/>
        </w:rPr>
        <w:t>X</w:t>
      </w:r>
      <w:r w:rsidR="00790184">
        <w:rPr>
          <w:rFonts w:ascii="David" w:hAnsi="David"/>
          <w:rtl/>
        </w:rPr>
        <w:t xml:space="preserve"> </w:t>
      </w:r>
      <w:r>
        <w:rPr>
          <w:rFonts w:ascii="David" w:hAnsi="David"/>
          <w:rtl/>
        </w:rPr>
        <w:t xml:space="preserve">ותת חלקה </w:t>
      </w:r>
      <w:r w:rsidR="00256B06">
        <w:rPr>
          <w:rFonts w:ascii="David" w:hAnsi="David"/>
        </w:rPr>
        <w:t>X</w:t>
      </w:r>
      <w:r w:rsidR="00256B06">
        <w:rPr>
          <w:rFonts w:ascii="David" w:hAnsi="David"/>
          <w:rtl/>
        </w:rPr>
        <w:t xml:space="preserve"> </w:t>
      </w:r>
      <w:r>
        <w:rPr>
          <w:rFonts w:ascii="David" w:hAnsi="David"/>
          <w:rtl/>
        </w:rPr>
        <w:t xml:space="preserve">רשומות כולן על שם הנתבעים בחלקים שווים ועל הזכויות בה רשומה משכנתא.  לטענת התובעים הדירות רשומות על שם הנתבעים אולם הן דירות של המנוח ויש להורות כי הן חלק מעיזבונו. </w:t>
      </w:r>
    </w:p>
    <w:p w:rsidR="003B6B3C" w:rsidRDefault="003B6B3C" w:rsidP="003B6B3C">
      <w:pPr>
        <w:pStyle w:val="ad"/>
        <w:spacing w:line="360" w:lineRule="auto"/>
        <w:ind w:left="567"/>
        <w:jc w:val="both"/>
        <w:rPr>
          <w:rFonts w:ascii="David" w:hAnsi="David"/>
        </w:rPr>
      </w:pPr>
    </w:p>
    <w:p w:rsidR="003B6B3C" w:rsidRDefault="002B4F33" w:rsidP="003B6B3C">
      <w:pPr>
        <w:pStyle w:val="ad"/>
        <w:numPr>
          <w:ilvl w:val="3"/>
          <w:numId w:val="1"/>
        </w:numPr>
        <w:spacing w:line="360" w:lineRule="auto"/>
        <w:jc w:val="both"/>
        <w:rPr>
          <w:rFonts w:ascii="David" w:hAnsi="David"/>
          <w:rtl/>
        </w:rPr>
      </w:pPr>
      <w:r>
        <w:rPr>
          <w:rFonts w:ascii="David" w:hAnsi="David"/>
          <w:rtl/>
        </w:rPr>
        <w:t xml:space="preserve">להשלמת התמונה יצויין כי נחתם הסכם בין הנתבעת לבין התובע 4 (צורף כנספח 4 לכתב התביעה. מועד החתימה לא הוברר עד תום) ובו סוכם כי התובע 4 יתגורר באחת מהדירות שבבעלות הנתבעים באותו הבניין. מהאמור בהסכם עולה כי הוא נחתם בנוכחותו של האב. </w:t>
      </w:r>
    </w:p>
    <w:p w:rsidR="003B6B3C" w:rsidRDefault="003B6B3C" w:rsidP="003B6B3C">
      <w:pPr>
        <w:pStyle w:val="ad"/>
        <w:rPr>
          <w:rFonts w:ascii="David" w:hAnsi="David"/>
        </w:rPr>
      </w:pPr>
    </w:p>
    <w:p w:rsidR="003B6B3C" w:rsidRDefault="002B4F33" w:rsidP="003B6B3C">
      <w:pPr>
        <w:pStyle w:val="ad"/>
        <w:numPr>
          <w:ilvl w:val="3"/>
          <w:numId w:val="1"/>
        </w:numPr>
        <w:spacing w:line="360" w:lineRule="auto"/>
        <w:jc w:val="both"/>
        <w:rPr>
          <w:rFonts w:ascii="David" w:hAnsi="David"/>
          <w:rtl/>
        </w:rPr>
      </w:pPr>
      <w:r>
        <w:rPr>
          <w:rFonts w:ascii="David" w:hAnsi="David"/>
          <w:rtl/>
        </w:rPr>
        <w:t xml:space="preserve">יצויין כי ברקע הדברים גם הליכים משפטיים נוספים שהיו בין הצדדים וכן בין האב לחלק מהתובעים בנושאים כספיים רכושיים וכן הוגשו צוי הגנה ותלונות במשטרה. </w:t>
      </w:r>
    </w:p>
    <w:p w:rsidR="003B6B3C" w:rsidRDefault="003B6B3C" w:rsidP="003B6B3C">
      <w:pPr>
        <w:pStyle w:val="ad"/>
        <w:rPr>
          <w:rFonts w:ascii="David" w:hAnsi="David"/>
          <w:rtl/>
        </w:rPr>
      </w:pPr>
    </w:p>
    <w:p w:rsidR="003B6B3C" w:rsidRDefault="003B6B3C" w:rsidP="003B6B3C">
      <w:pPr>
        <w:pStyle w:val="ad"/>
        <w:rPr>
          <w:rFonts w:ascii="David" w:hAnsi="David"/>
          <w:rtl/>
        </w:rPr>
      </w:pPr>
    </w:p>
    <w:p w:rsidR="003B6B3C" w:rsidRDefault="003B6B3C" w:rsidP="003B6B3C">
      <w:pPr>
        <w:pStyle w:val="ad"/>
        <w:rPr>
          <w:rFonts w:ascii="David" w:hAnsi="David"/>
          <w:rtl/>
        </w:rPr>
      </w:pPr>
    </w:p>
    <w:p w:rsidR="003B6B3C" w:rsidRDefault="003B6B3C" w:rsidP="003B6B3C">
      <w:pPr>
        <w:pStyle w:val="ad"/>
        <w:rPr>
          <w:rFonts w:ascii="David" w:hAnsi="David"/>
        </w:rPr>
      </w:pPr>
    </w:p>
    <w:p w:rsidR="003B6B3C" w:rsidRDefault="002B4F33" w:rsidP="003B6B3C">
      <w:pPr>
        <w:pStyle w:val="ad"/>
        <w:numPr>
          <w:ilvl w:val="3"/>
          <w:numId w:val="1"/>
        </w:numPr>
        <w:spacing w:line="360" w:lineRule="auto"/>
        <w:jc w:val="both"/>
        <w:rPr>
          <w:rFonts w:ascii="David" w:hAnsi="David"/>
          <w:rtl/>
        </w:rPr>
      </w:pPr>
      <w:r>
        <w:rPr>
          <w:rFonts w:ascii="David" w:hAnsi="David"/>
          <w:rtl/>
        </w:rPr>
        <w:lastRenderedPageBreak/>
        <w:t xml:space="preserve">ביום 4.12.2018 הגיש התובע 1 בקשה למינוי אפוט' לאב (א"פ 8022-12-18). ההליכים בתיק האפוט' היו ממושכים והעלו עוד בחייו של האב את הקונפליקט בענייני רכושו וכספיו לרבות בנושאים הנדונים בתביעה כעת. במסגרת הליך האפוט' ניתן צו למניעת דיספוזיציה בדירת המגורים ביום 24.12.2019.  עם סיום הליך האפוטרופסות (לאחר קבלת חוו"ד מומחה מיום 1.7.2019 ותסקיר מיום 30.1.2020) ביום 15.7.2020 מונה המרכז הישראלי לאפוטרופסות כאפוט' חיצוני לגוף ולרכוש של האב באופן קבוע.  </w:t>
      </w:r>
    </w:p>
    <w:p w:rsidR="003B6B3C" w:rsidRDefault="003B6B3C" w:rsidP="003B6B3C">
      <w:pPr>
        <w:pStyle w:val="ad"/>
        <w:rPr>
          <w:rFonts w:ascii="David" w:hAnsi="David"/>
        </w:rPr>
      </w:pPr>
    </w:p>
    <w:p w:rsidR="003B6B3C" w:rsidRDefault="002B4F33" w:rsidP="003B6B3C">
      <w:pPr>
        <w:pStyle w:val="ad"/>
        <w:numPr>
          <w:ilvl w:val="3"/>
          <w:numId w:val="1"/>
        </w:numPr>
        <w:spacing w:line="360" w:lineRule="auto"/>
        <w:jc w:val="both"/>
        <w:rPr>
          <w:rFonts w:ascii="David" w:hAnsi="David"/>
          <w:rtl/>
        </w:rPr>
      </w:pPr>
      <w:r>
        <w:rPr>
          <w:rFonts w:ascii="David" w:hAnsi="David"/>
          <w:rtl/>
        </w:rPr>
        <w:t>האב המנוח הלך לבית עולמו ביום  29.10.2020.</w:t>
      </w:r>
    </w:p>
    <w:p w:rsidR="003B6B3C" w:rsidRDefault="003B6B3C" w:rsidP="003B6B3C">
      <w:pPr>
        <w:pStyle w:val="ad"/>
        <w:rPr>
          <w:rFonts w:ascii="David" w:hAnsi="David"/>
        </w:rPr>
      </w:pPr>
    </w:p>
    <w:p w:rsidR="003B6B3C" w:rsidRDefault="002B4F33" w:rsidP="003B6B3C">
      <w:pPr>
        <w:pStyle w:val="ad"/>
        <w:numPr>
          <w:ilvl w:val="3"/>
          <w:numId w:val="1"/>
        </w:numPr>
        <w:spacing w:line="360" w:lineRule="auto"/>
        <w:jc w:val="both"/>
        <w:rPr>
          <w:rFonts w:ascii="David" w:hAnsi="David"/>
          <w:rtl/>
        </w:rPr>
      </w:pPr>
      <w:r>
        <w:rPr>
          <w:rFonts w:ascii="David" w:hAnsi="David"/>
          <w:rtl/>
        </w:rPr>
        <w:t xml:space="preserve">ביום 19.5.2021 הוגשה התביעה דנן. </w:t>
      </w:r>
    </w:p>
    <w:p w:rsidR="003B6B3C" w:rsidRDefault="003B6B3C" w:rsidP="003B6B3C">
      <w:pPr>
        <w:pStyle w:val="ad"/>
        <w:rPr>
          <w:rFonts w:ascii="David" w:hAnsi="David"/>
        </w:rPr>
      </w:pPr>
    </w:p>
    <w:p w:rsidR="003B6B3C" w:rsidRDefault="002B4F33" w:rsidP="003B6B3C">
      <w:pPr>
        <w:pStyle w:val="ad"/>
        <w:numPr>
          <w:ilvl w:val="3"/>
          <w:numId w:val="1"/>
        </w:numPr>
        <w:spacing w:line="360" w:lineRule="auto"/>
        <w:jc w:val="both"/>
        <w:rPr>
          <w:rFonts w:ascii="David" w:hAnsi="David"/>
          <w:rtl/>
        </w:rPr>
      </w:pPr>
      <w:r>
        <w:rPr>
          <w:rFonts w:ascii="David" w:hAnsi="David"/>
          <w:rtl/>
        </w:rPr>
        <w:t xml:space="preserve">להשלמת התמונה יצויין כי בין הצדדים מתנהלים עדיין הליכים הקשורים לקיום צוואתו של המנוח והתיקים קבועים להוכחות. </w:t>
      </w:r>
    </w:p>
    <w:p w:rsidR="003B6B3C" w:rsidRDefault="003B6B3C" w:rsidP="003B6B3C">
      <w:pPr>
        <w:pStyle w:val="ad"/>
        <w:rPr>
          <w:rFonts w:ascii="David" w:hAnsi="David"/>
        </w:rPr>
      </w:pPr>
    </w:p>
    <w:p w:rsidR="003B6B3C" w:rsidRDefault="002B4F33" w:rsidP="003B6B3C">
      <w:pPr>
        <w:pStyle w:val="ad"/>
        <w:numPr>
          <w:ilvl w:val="3"/>
          <w:numId w:val="1"/>
        </w:numPr>
        <w:spacing w:line="360" w:lineRule="auto"/>
        <w:jc w:val="both"/>
        <w:rPr>
          <w:rFonts w:ascii="David" w:hAnsi="David"/>
          <w:rtl/>
        </w:rPr>
      </w:pPr>
      <w:r>
        <w:rPr>
          <w:rFonts w:ascii="David" w:hAnsi="David"/>
          <w:rtl/>
        </w:rPr>
        <w:t xml:space="preserve">בתיק התקיימו 3 דיונים (דיון קד"מ ו-2 דיוני הוכחות) והוגשו סיכומים בכתב ובהתאם לכך ניתן כעת פסק הדין. </w:t>
      </w:r>
    </w:p>
    <w:p w:rsidR="003B6B3C" w:rsidRDefault="003B6B3C" w:rsidP="003B6B3C">
      <w:pPr>
        <w:pStyle w:val="ad"/>
        <w:rPr>
          <w:rFonts w:ascii="David" w:hAnsi="David"/>
          <w:b/>
          <w:bCs/>
          <w:u w:val="single"/>
        </w:rPr>
      </w:pPr>
    </w:p>
    <w:p w:rsidR="003B6B3C" w:rsidRDefault="003B6B3C" w:rsidP="003B6B3C">
      <w:pPr>
        <w:pStyle w:val="ad"/>
        <w:rPr>
          <w:rFonts w:ascii="David" w:hAnsi="David"/>
          <w:b/>
          <w:bCs/>
          <w:u w:val="single"/>
          <w:rtl/>
        </w:rPr>
      </w:pPr>
    </w:p>
    <w:p w:rsidR="003B6B3C" w:rsidRDefault="002B4F33" w:rsidP="003B6B3C">
      <w:pPr>
        <w:pStyle w:val="ad"/>
        <w:numPr>
          <w:ilvl w:val="0"/>
          <w:numId w:val="1"/>
        </w:numPr>
        <w:spacing w:line="360" w:lineRule="auto"/>
        <w:jc w:val="both"/>
        <w:rPr>
          <w:rFonts w:ascii="David" w:hAnsi="David"/>
          <w:b/>
          <w:bCs/>
          <w:sz w:val="28"/>
          <w:szCs w:val="28"/>
          <w:u w:val="single"/>
          <w:rtl/>
        </w:rPr>
      </w:pPr>
      <w:r>
        <w:rPr>
          <w:rFonts w:ascii="David" w:hAnsi="David"/>
          <w:b/>
          <w:bCs/>
          <w:sz w:val="28"/>
          <w:szCs w:val="28"/>
          <w:u w:val="single"/>
          <w:rtl/>
        </w:rPr>
        <w:t>טענות הצדדים</w:t>
      </w:r>
    </w:p>
    <w:p w:rsidR="003B6B3C" w:rsidRDefault="003B6B3C" w:rsidP="003B6B3C">
      <w:pPr>
        <w:spacing w:line="360" w:lineRule="auto"/>
        <w:jc w:val="both"/>
        <w:rPr>
          <w:rFonts w:ascii="David" w:hAnsi="David"/>
          <w:b/>
          <w:bCs/>
          <w:sz w:val="28"/>
          <w:szCs w:val="28"/>
          <w:u w:val="single"/>
          <w:rtl/>
        </w:rPr>
      </w:pPr>
    </w:p>
    <w:p w:rsidR="003B6B3C" w:rsidRDefault="002B4F33" w:rsidP="003B6B3C">
      <w:pPr>
        <w:spacing w:line="360" w:lineRule="auto"/>
        <w:jc w:val="both"/>
        <w:rPr>
          <w:rFonts w:ascii="David" w:hAnsi="David"/>
          <w:b/>
          <w:bCs/>
          <w:u w:val="single"/>
          <w:rtl/>
        </w:rPr>
      </w:pPr>
      <w:r>
        <w:rPr>
          <w:rFonts w:ascii="David" w:hAnsi="David"/>
          <w:b/>
          <w:bCs/>
          <w:u w:val="single"/>
          <w:rtl/>
        </w:rPr>
        <w:t>תמצית טענות התובעים</w:t>
      </w:r>
    </w:p>
    <w:p w:rsidR="003B6B3C" w:rsidRDefault="003B6B3C" w:rsidP="003B6B3C">
      <w:pPr>
        <w:spacing w:line="360" w:lineRule="auto"/>
        <w:jc w:val="both"/>
        <w:rPr>
          <w:rFonts w:ascii="David" w:hAnsi="David"/>
          <w:b/>
          <w:bCs/>
          <w:u w:val="single"/>
          <w:rtl/>
        </w:rPr>
      </w:pPr>
    </w:p>
    <w:p w:rsidR="003B6B3C" w:rsidRDefault="002B4F33" w:rsidP="003B6B3C">
      <w:pPr>
        <w:pStyle w:val="ad"/>
        <w:numPr>
          <w:ilvl w:val="0"/>
          <w:numId w:val="3"/>
        </w:numPr>
        <w:spacing w:line="360" w:lineRule="auto"/>
        <w:jc w:val="both"/>
        <w:rPr>
          <w:rFonts w:ascii="David" w:hAnsi="David"/>
          <w:rtl/>
        </w:rPr>
      </w:pPr>
      <w:r>
        <w:rPr>
          <w:rFonts w:ascii="David" w:hAnsi="David"/>
          <w:rtl/>
        </w:rPr>
        <w:t xml:space="preserve">לטענת התובעים יש להורות על ביטול ההעברה במתנה של דירת המגורים מהאב לנתבעת. לטענתם התובעים, הנתבעים השפיעו השפעה בלתי הוגנת על האב, ניצלו את מצבו, תלותו בהם, בודדו אותו מבניו- התובעים וניצלו את חוסר עצמאותו על מנת לגרום לכך שיעביר את הדירה ללא תמורה לנתבעת. על כן עותרים לביטול ההעברה. </w:t>
      </w:r>
    </w:p>
    <w:p w:rsidR="003B6B3C" w:rsidRDefault="003B6B3C" w:rsidP="003B6B3C">
      <w:pPr>
        <w:pStyle w:val="ad"/>
        <w:spacing w:line="360" w:lineRule="auto"/>
        <w:ind w:left="567"/>
        <w:jc w:val="both"/>
        <w:rPr>
          <w:rFonts w:ascii="David" w:hAnsi="David"/>
        </w:rPr>
      </w:pPr>
    </w:p>
    <w:p w:rsidR="003B6B3C" w:rsidRDefault="002B4F33" w:rsidP="003B6B3C">
      <w:pPr>
        <w:pStyle w:val="ad"/>
        <w:numPr>
          <w:ilvl w:val="0"/>
          <w:numId w:val="3"/>
        </w:numPr>
        <w:spacing w:line="360" w:lineRule="auto"/>
        <w:jc w:val="both"/>
        <w:rPr>
          <w:rFonts w:ascii="David" w:hAnsi="David"/>
        </w:rPr>
      </w:pPr>
      <w:r>
        <w:rPr>
          <w:rFonts w:ascii="David" w:hAnsi="David"/>
          <w:rtl/>
        </w:rPr>
        <w:t xml:space="preserve">כמו כן לטענת התובעים, הנתבעים גרמו לאב המנוח לחתום על מסמכי  ההעברה תוך טעות והטעיה מאחר וגרמו לו להאמין כי בסופו של יום לאחר פטירתו הם יפעלו לחלוקה שווה של רכושו בין כל ילדיו. </w:t>
      </w:r>
    </w:p>
    <w:p w:rsidR="003B6B3C" w:rsidRDefault="003B6B3C" w:rsidP="003B6B3C">
      <w:pPr>
        <w:pStyle w:val="ad"/>
        <w:spacing w:line="360" w:lineRule="auto"/>
        <w:ind w:left="567"/>
        <w:jc w:val="both"/>
        <w:rPr>
          <w:rFonts w:ascii="David" w:hAnsi="David"/>
        </w:rPr>
      </w:pPr>
    </w:p>
    <w:p w:rsidR="003B6B3C" w:rsidRDefault="002B4F33" w:rsidP="003B6B3C">
      <w:pPr>
        <w:pStyle w:val="ad"/>
        <w:numPr>
          <w:ilvl w:val="0"/>
          <w:numId w:val="3"/>
        </w:numPr>
        <w:spacing w:line="360" w:lineRule="auto"/>
        <w:jc w:val="both"/>
        <w:rPr>
          <w:rFonts w:ascii="David" w:hAnsi="David"/>
        </w:rPr>
      </w:pPr>
      <w:r>
        <w:rPr>
          <w:rFonts w:ascii="David" w:hAnsi="David"/>
          <w:rtl/>
        </w:rPr>
        <w:t xml:space="preserve">לטענת התובעים, הנתבעים גרמו לאב המנוח להאמין כי על מנת להגן על רכושו כדאי לו להעביר את כל רכושו אליהם והם ישמרו עליו ויחלקו אותו לאחר הפטירה לכל הילדים, כפי שהאב רצה. </w:t>
      </w:r>
    </w:p>
    <w:p w:rsidR="003B6B3C" w:rsidRDefault="003B6B3C" w:rsidP="003B6B3C">
      <w:pPr>
        <w:pStyle w:val="ad"/>
        <w:rPr>
          <w:rFonts w:ascii="David" w:hAnsi="David"/>
        </w:rPr>
      </w:pPr>
    </w:p>
    <w:p w:rsidR="003B6B3C" w:rsidRDefault="002B4F33" w:rsidP="003B6B3C">
      <w:pPr>
        <w:pStyle w:val="ad"/>
        <w:numPr>
          <w:ilvl w:val="0"/>
          <w:numId w:val="3"/>
        </w:numPr>
        <w:spacing w:line="360" w:lineRule="auto"/>
        <w:jc w:val="both"/>
        <w:rPr>
          <w:rFonts w:ascii="David" w:hAnsi="David"/>
          <w:rtl/>
        </w:rPr>
      </w:pPr>
      <w:r>
        <w:rPr>
          <w:rFonts w:ascii="David" w:hAnsi="David"/>
          <w:rtl/>
        </w:rPr>
        <w:t>לטענת התובעים המנוח לא הבין את משמעות ביצוע ההעברה ולא הייתה לו גמירות הדעת להתקשר בהעברה זו, שרוקנה אותו מכל נכסיו.</w:t>
      </w:r>
    </w:p>
    <w:p w:rsidR="003B6B3C" w:rsidRDefault="003B6B3C" w:rsidP="003B6B3C">
      <w:pPr>
        <w:pStyle w:val="ad"/>
        <w:rPr>
          <w:rFonts w:ascii="David" w:hAnsi="David"/>
        </w:rPr>
      </w:pPr>
    </w:p>
    <w:p w:rsidR="003B6B3C" w:rsidRDefault="002B4F33" w:rsidP="003B6B3C">
      <w:pPr>
        <w:pStyle w:val="ad"/>
        <w:numPr>
          <w:ilvl w:val="0"/>
          <w:numId w:val="3"/>
        </w:numPr>
        <w:spacing w:line="360" w:lineRule="auto"/>
        <w:jc w:val="both"/>
        <w:rPr>
          <w:rFonts w:ascii="David" w:hAnsi="David"/>
          <w:rtl/>
        </w:rPr>
      </w:pPr>
      <w:r>
        <w:rPr>
          <w:rFonts w:ascii="David" w:hAnsi="David"/>
          <w:rtl/>
        </w:rPr>
        <w:t xml:space="preserve">לטענת התובעים יש בנוסף ליתן סעד הצהרתי כי 3 דירות שבאותו בניין של דירת המגורים ורשומות על שם הנתבעים הינן בפועל של המנוח ולהורות כי הם חלק מנכסי עיזבונות. </w:t>
      </w:r>
    </w:p>
    <w:p w:rsidR="003B6B3C" w:rsidRDefault="003B6B3C" w:rsidP="003B6B3C">
      <w:pPr>
        <w:pStyle w:val="ad"/>
        <w:spacing w:line="360" w:lineRule="auto"/>
        <w:ind w:left="567"/>
        <w:jc w:val="both"/>
        <w:rPr>
          <w:rFonts w:ascii="David" w:hAnsi="David"/>
        </w:rPr>
      </w:pPr>
    </w:p>
    <w:p w:rsidR="003B6B3C" w:rsidRDefault="003B6B3C" w:rsidP="003B6B3C">
      <w:pPr>
        <w:rPr>
          <w:rtl/>
        </w:rPr>
      </w:pPr>
    </w:p>
    <w:p w:rsidR="003B6B3C" w:rsidRDefault="002B4F33" w:rsidP="003B6B3C">
      <w:pPr>
        <w:pStyle w:val="ad"/>
        <w:spacing w:line="360" w:lineRule="auto"/>
        <w:ind w:left="0"/>
        <w:jc w:val="both"/>
        <w:rPr>
          <w:rFonts w:ascii="David" w:hAnsi="David"/>
          <w:b/>
          <w:bCs/>
          <w:u w:val="single"/>
          <w:rtl/>
        </w:rPr>
      </w:pPr>
      <w:r>
        <w:rPr>
          <w:rFonts w:ascii="David" w:hAnsi="David"/>
          <w:b/>
          <w:bCs/>
          <w:u w:val="single"/>
          <w:rtl/>
        </w:rPr>
        <w:t>תמצית טענות הנתבעים</w:t>
      </w:r>
    </w:p>
    <w:p w:rsidR="003B6B3C" w:rsidRDefault="003B6B3C" w:rsidP="003B6B3C">
      <w:pPr>
        <w:pStyle w:val="ad"/>
        <w:spacing w:line="360" w:lineRule="auto"/>
        <w:ind w:left="0"/>
        <w:jc w:val="both"/>
        <w:rPr>
          <w:rFonts w:ascii="David" w:hAnsi="David"/>
          <w:b/>
          <w:bCs/>
          <w:u w:val="single"/>
          <w:rtl/>
        </w:rPr>
      </w:pPr>
    </w:p>
    <w:p w:rsidR="003B6B3C" w:rsidRDefault="002B4F33" w:rsidP="003B6B3C">
      <w:pPr>
        <w:pStyle w:val="ad"/>
        <w:numPr>
          <w:ilvl w:val="0"/>
          <w:numId w:val="3"/>
        </w:numPr>
        <w:spacing w:line="360" w:lineRule="auto"/>
        <w:jc w:val="both"/>
        <w:rPr>
          <w:rFonts w:ascii="David" w:hAnsi="David"/>
          <w:rtl/>
        </w:rPr>
      </w:pPr>
      <w:r>
        <w:rPr>
          <w:rFonts w:ascii="David" w:hAnsi="David"/>
          <w:rtl/>
        </w:rPr>
        <w:t xml:space="preserve">הנתבעים עותרים לדחיית התביעה על כל רכיביה. לטענת הנתבעים העברת הזכויות בדירה נבעה מרצונו האמיתי והמגובש של האב וחלק מהמניע לכך מעבר לטיפולם המסור של הנתבעים באב הוא התנהגות התובעים ובפרט בתובעים 1-2 אשר גזלו מהאב את המגרשים. הנתבעים מפרטים באריכות בכל כתבי הטענות את מערכת היחסים העכורה בין האב המנוח לבין התובעים ומפרטים את ההליכים המשפטיים שהתנהלו ביניהם, תלונות שהוגשו במשטרה ומדגישים כי בשל התנהלות זו קיבל האב החלטה לתת ללא תמורה במתנה את דירת המגורים לנתבעת.  </w:t>
      </w:r>
    </w:p>
    <w:p w:rsidR="003B6B3C" w:rsidRDefault="003B6B3C" w:rsidP="003B6B3C">
      <w:pPr>
        <w:pStyle w:val="ad"/>
        <w:spacing w:line="360" w:lineRule="auto"/>
        <w:ind w:left="567"/>
        <w:jc w:val="both"/>
        <w:rPr>
          <w:rFonts w:ascii="David" w:hAnsi="David"/>
        </w:rPr>
      </w:pPr>
    </w:p>
    <w:p w:rsidR="003B6B3C" w:rsidRDefault="002B4F33" w:rsidP="003B6B3C">
      <w:pPr>
        <w:pStyle w:val="ad"/>
        <w:numPr>
          <w:ilvl w:val="0"/>
          <w:numId w:val="3"/>
        </w:numPr>
        <w:spacing w:line="360" w:lineRule="auto"/>
        <w:jc w:val="both"/>
        <w:rPr>
          <w:rFonts w:ascii="David" w:hAnsi="David"/>
        </w:rPr>
      </w:pPr>
      <w:r>
        <w:rPr>
          <w:rFonts w:ascii="David" w:hAnsi="David"/>
          <w:rtl/>
        </w:rPr>
        <w:t xml:space="preserve">לטענת הנתבעים, מטרתם של התובעים הינה לנשל את הנתבעת מנכסיו של האב המנוח שלא כדין באמצעות תביעה זו שהוגשה בשיהוי מכוון רק לאחר פטירת האב. </w:t>
      </w:r>
    </w:p>
    <w:p w:rsidR="003B6B3C" w:rsidRDefault="003B6B3C" w:rsidP="003B6B3C">
      <w:pPr>
        <w:pStyle w:val="ad"/>
        <w:rPr>
          <w:rFonts w:ascii="David" w:hAnsi="David"/>
        </w:rPr>
      </w:pPr>
    </w:p>
    <w:p w:rsidR="003B6B3C" w:rsidRDefault="002B4F33" w:rsidP="003B6B3C">
      <w:pPr>
        <w:pStyle w:val="ad"/>
        <w:numPr>
          <w:ilvl w:val="0"/>
          <w:numId w:val="3"/>
        </w:numPr>
        <w:spacing w:line="360" w:lineRule="auto"/>
        <w:jc w:val="both"/>
        <w:rPr>
          <w:rFonts w:ascii="David" w:hAnsi="David"/>
          <w:rtl/>
        </w:rPr>
      </w:pPr>
      <w:r>
        <w:rPr>
          <w:rFonts w:ascii="David" w:hAnsi="David"/>
          <w:rtl/>
        </w:rPr>
        <w:t xml:space="preserve">לטענת הנתבעים הם דאגו לכל צרכיו של המנוח מעת שנפטרה האם, התגוררו עימו, דאגו לכל ענייניו היומיומיים והאחרים וטיפלו בו במסירות אין קץ, דבר שבא לידי ביטוי גם בהליך האפוט' שהוגש. </w:t>
      </w:r>
    </w:p>
    <w:p w:rsidR="003B6B3C" w:rsidRDefault="003B6B3C" w:rsidP="003B6B3C">
      <w:pPr>
        <w:pStyle w:val="ad"/>
        <w:rPr>
          <w:rFonts w:ascii="David" w:hAnsi="David"/>
        </w:rPr>
      </w:pPr>
    </w:p>
    <w:p w:rsidR="003B6B3C" w:rsidRDefault="002B4F33" w:rsidP="003B6B3C">
      <w:pPr>
        <w:pStyle w:val="ad"/>
        <w:numPr>
          <w:ilvl w:val="0"/>
          <w:numId w:val="3"/>
        </w:numPr>
        <w:spacing w:line="360" w:lineRule="auto"/>
        <w:jc w:val="both"/>
        <w:rPr>
          <w:rFonts w:ascii="David" w:hAnsi="David"/>
          <w:rtl/>
        </w:rPr>
      </w:pPr>
      <w:r>
        <w:rPr>
          <w:rFonts w:ascii="David" w:hAnsi="David"/>
          <w:rtl/>
        </w:rPr>
        <w:t xml:space="preserve">לטענת הנתבעת לאור מערכת היחסים העכורה של התובעים עם האב ולאחר שהאב גילה שהתובעים 1-2 גזלו ממנו את המגרשים, חפץ האב לאזן בין זכויות ילדיו וכהכרת תודה לנתבעים על טיפולם בו החליט להעביר לנתבעת את הדירה. הנתבעים מכחישים את כל הטענות בדבר ניתוקו או בידודו של האב מהתובעים ומציינים כי ניתוק זה הוא תוצאה ישירה של התנהלות התובעים כלפי האב. </w:t>
      </w:r>
    </w:p>
    <w:p w:rsidR="003B6B3C" w:rsidRDefault="003B6B3C" w:rsidP="003B6B3C">
      <w:pPr>
        <w:pStyle w:val="ad"/>
        <w:rPr>
          <w:rFonts w:ascii="David" w:hAnsi="David"/>
        </w:rPr>
      </w:pPr>
    </w:p>
    <w:p w:rsidR="003B6B3C" w:rsidRDefault="002B4F33" w:rsidP="003B6B3C">
      <w:pPr>
        <w:pStyle w:val="ad"/>
        <w:numPr>
          <w:ilvl w:val="0"/>
          <w:numId w:val="3"/>
        </w:numPr>
        <w:spacing w:line="360" w:lineRule="auto"/>
        <w:jc w:val="both"/>
        <w:rPr>
          <w:rFonts w:ascii="David" w:hAnsi="David"/>
          <w:rtl/>
        </w:rPr>
      </w:pPr>
      <w:r>
        <w:rPr>
          <w:rFonts w:ascii="David" w:hAnsi="David"/>
          <w:rtl/>
        </w:rPr>
        <w:t xml:space="preserve">הנתבעים מכחישים את הטענה כי הדירות שרכשו באותו בניין של דירת המגורים של האב. הם מציינים כי הייתה להם דירה אחרת שנמכרה והם רכשו דירה – שהייתה מחולקת ל-3 תתי חלקות – בבניין בו נמצאת דירת המגורים. הם מדגישים כי מדובר בכספיהם ולא בכספי האב ומדובר בנכס שלהם. </w:t>
      </w:r>
    </w:p>
    <w:p w:rsidR="003B6B3C" w:rsidRDefault="003B6B3C" w:rsidP="003B6B3C">
      <w:pPr>
        <w:rPr>
          <w:rtl/>
        </w:rPr>
      </w:pPr>
    </w:p>
    <w:p w:rsidR="003B6B3C" w:rsidRDefault="003B6B3C" w:rsidP="003B6B3C">
      <w:pPr>
        <w:rPr>
          <w:rtl/>
        </w:rPr>
      </w:pPr>
    </w:p>
    <w:p w:rsidR="003B6B3C" w:rsidRDefault="003B6B3C" w:rsidP="003B6B3C">
      <w:pPr>
        <w:rPr>
          <w:rtl/>
        </w:rPr>
      </w:pPr>
    </w:p>
    <w:p w:rsidR="003B6B3C" w:rsidRDefault="003B6B3C" w:rsidP="003B6B3C">
      <w:pPr>
        <w:rPr>
          <w:rtl/>
        </w:rPr>
      </w:pPr>
    </w:p>
    <w:p w:rsidR="003B6B3C" w:rsidRDefault="003B6B3C" w:rsidP="003B6B3C">
      <w:pPr>
        <w:rPr>
          <w:rtl/>
        </w:rPr>
      </w:pPr>
    </w:p>
    <w:p w:rsidR="003B6B3C" w:rsidRDefault="003B6B3C" w:rsidP="003B6B3C">
      <w:pPr>
        <w:rPr>
          <w:rtl/>
        </w:rPr>
      </w:pPr>
    </w:p>
    <w:p w:rsidR="003B6B3C" w:rsidRDefault="003B6B3C" w:rsidP="003B6B3C">
      <w:pPr>
        <w:rPr>
          <w:rtl/>
        </w:rPr>
      </w:pPr>
    </w:p>
    <w:p w:rsidR="003B6B3C" w:rsidRDefault="002B4F33" w:rsidP="003B6B3C">
      <w:pPr>
        <w:pStyle w:val="ad"/>
        <w:numPr>
          <w:ilvl w:val="0"/>
          <w:numId w:val="1"/>
        </w:numPr>
        <w:spacing w:line="360" w:lineRule="auto"/>
        <w:jc w:val="both"/>
        <w:rPr>
          <w:rFonts w:ascii="David" w:hAnsi="David"/>
          <w:b/>
          <w:bCs/>
          <w:sz w:val="28"/>
          <w:szCs w:val="28"/>
          <w:u w:val="single"/>
          <w:rtl/>
        </w:rPr>
      </w:pPr>
      <w:r>
        <w:rPr>
          <w:rFonts w:ascii="David" w:hAnsi="David"/>
          <w:b/>
          <w:bCs/>
          <w:sz w:val="28"/>
          <w:szCs w:val="28"/>
          <w:u w:val="single"/>
          <w:rtl/>
        </w:rPr>
        <w:lastRenderedPageBreak/>
        <w:t>דיון והכרעה</w:t>
      </w:r>
    </w:p>
    <w:p w:rsidR="003B6B3C" w:rsidRDefault="003B6B3C" w:rsidP="003B6B3C"/>
    <w:p w:rsidR="003B6B3C" w:rsidRDefault="002B4F33" w:rsidP="003B6B3C">
      <w:pPr>
        <w:pStyle w:val="ad"/>
        <w:numPr>
          <w:ilvl w:val="0"/>
          <w:numId w:val="3"/>
        </w:numPr>
        <w:spacing w:line="360" w:lineRule="auto"/>
        <w:jc w:val="both"/>
        <w:rPr>
          <w:rFonts w:ascii="David" w:hAnsi="David"/>
          <w:rtl/>
        </w:rPr>
      </w:pPr>
      <w:r>
        <w:rPr>
          <w:rFonts w:ascii="David" w:hAnsi="David"/>
          <w:rtl/>
        </w:rPr>
        <w:t>הנתבעים מעלים מספר טענות סף שלטענתם יש בהם להוביל לדחיית התביעה.</w:t>
      </w:r>
    </w:p>
    <w:p w:rsidR="003B6B3C" w:rsidRDefault="003B6B3C" w:rsidP="003B6B3C">
      <w:pPr>
        <w:pStyle w:val="ad"/>
        <w:spacing w:line="360" w:lineRule="auto"/>
        <w:ind w:left="567"/>
        <w:jc w:val="both"/>
        <w:rPr>
          <w:rFonts w:ascii="David" w:hAnsi="David"/>
        </w:rPr>
      </w:pPr>
    </w:p>
    <w:p w:rsidR="003B6B3C" w:rsidRDefault="002B4F33" w:rsidP="003B6B3C">
      <w:pPr>
        <w:pStyle w:val="ad"/>
        <w:numPr>
          <w:ilvl w:val="0"/>
          <w:numId w:val="3"/>
        </w:numPr>
        <w:spacing w:line="360" w:lineRule="auto"/>
        <w:jc w:val="both"/>
        <w:rPr>
          <w:rFonts w:ascii="David" w:hAnsi="David"/>
        </w:rPr>
      </w:pPr>
      <w:r>
        <w:rPr>
          <w:rFonts w:ascii="David" w:hAnsi="David"/>
          <w:b/>
          <w:bCs/>
          <w:u w:val="single"/>
          <w:rtl/>
        </w:rPr>
        <w:t xml:space="preserve">בכל הנוגע לטענת הנתבעים כי התביעה הינה טורדנית וקנטרנית וחסרת תום לב – </w:t>
      </w:r>
      <w:r>
        <w:rPr>
          <w:rtl/>
        </w:rPr>
        <w:t xml:space="preserve">לאחר בחינת טענות הצדדים ומאחר והתביעה נדונה כבר לגופה אין מקום להורות על סילוק התביעה בסעד זה. בין הצדדים מערכת מסועפת של עניינים רכושיים שונים וצולבים לאורך השנים המערבים בני משפחה שונים ועירבו גם את האב המנוח בשנותיו האחרונות ביתר שאת. </w:t>
      </w:r>
      <w:r>
        <w:rPr>
          <w:rFonts w:ascii="David" w:hAnsi="David"/>
          <w:rtl/>
        </w:rPr>
        <w:t xml:space="preserve">לא שוכנעתי כי עצם הגשת התביעה הינה ברמה כזו שיש לסלקה בשל עילות אלה. יתרה מכך ולאחר שהדברים נדונו לגופם האינטרס של הצדדים הוא גם הכרעה לגופם של דברים. </w:t>
      </w:r>
    </w:p>
    <w:p w:rsidR="003B6B3C" w:rsidRDefault="003B6B3C" w:rsidP="003B6B3C">
      <w:pPr>
        <w:pStyle w:val="ad"/>
        <w:rPr>
          <w:rFonts w:ascii="David" w:hAnsi="David"/>
        </w:rPr>
      </w:pPr>
    </w:p>
    <w:p w:rsidR="003B6B3C" w:rsidRDefault="002B4F33" w:rsidP="003B6B3C">
      <w:pPr>
        <w:pStyle w:val="ad"/>
        <w:numPr>
          <w:ilvl w:val="0"/>
          <w:numId w:val="3"/>
        </w:numPr>
        <w:spacing w:line="360" w:lineRule="auto"/>
        <w:jc w:val="both"/>
        <w:rPr>
          <w:rFonts w:ascii="David" w:hAnsi="David"/>
          <w:rtl/>
        </w:rPr>
      </w:pPr>
      <w:r>
        <w:rPr>
          <w:rFonts w:ascii="David" w:hAnsi="David"/>
          <w:b/>
          <w:bCs/>
          <w:u w:val="single"/>
          <w:rtl/>
        </w:rPr>
        <w:t xml:space="preserve">בכל הנוגע לטענת הנתבעים כי נגרם להם נזק ראייתי בשל השיהוי בהגשת התביעה - </w:t>
      </w:r>
      <w:r>
        <w:rPr>
          <w:rFonts w:ascii="David" w:hAnsi="David"/>
          <w:rtl/>
        </w:rPr>
        <w:t xml:space="preserve"> בטענה זו יש ממש. ההעברה של דירת המגורים הייתה בחודש 2/2015. לא רק שהדבר היה ידוע במשפחה אלא שהיכה גלים ועורר את הקונפליקט במלוא עוצמתו. התביעה הוגשה רק לאחר פטירתו של האב בחודש 5/2021. הבקשה לאפוט' לאב הייתה בחודש 12/2018. העולה מכך כי היה די זמן והותר להגשת התביעה והמתנה להגשתה עד לאחר פטירתו של האב, וכאשר לא ניתן לשמוע את קולו, לברר את עמדתו ואולי לבחון ראיות שיש בחזקתו – מהווה נזק ראייתי לנתבעים. הדברים מקבלים משנה תוקף בטענה לגבי הדירות הנוספות שהבירור לגביהן מעלה כי נרשמו על שם הנתבעים עוד בשנת 2009 על פי נסח הטאבו. על כן השיהוי עוד משמעותי יותר. </w:t>
      </w:r>
    </w:p>
    <w:p w:rsidR="003B6B3C" w:rsidRDefault="003B6B3C" w:rsidP="003B6B3C">
      <w:pPr>
        <w:pStyle w:val="ad"/>
        <w:rPr>
          <w:rFonts w:ascii="David" w:hAnsi="David"/>
        </w:rPr>
      </w:pPr>
    </w:p>
    <w:p w:rsidR="003B6B3C" w:rsidRDefault="002B4F33" w:rsidP="003B6B3C">
      <w:pPr>
        <w:pStyle w:val="ad"/>
        <w:numPr>
          <w:ilvl w:val="0"/>
          <w:numId w:val="3"/>
        </w:numPr>
        <w:spacing w:line="360" w:lineRule="auto"/>
        <w:jc w:val="both"/>
        <w:rPr>
          <w:rFonts w:ascii="David" w:hAnsi="David"/>
          <w:rtl/>
        </w:rPr>
      </w:pPr>
      <w:r>
        <w:rPr>
          <w:rFonts w:ascii="David" w:hAnsi="David"/>
          <w:rtl/>
        </w:rPr>
        <w:t xml:space="preserve">עניין השיהוי והנזק הראייתי יילקח בחשבון בנטל המוטל על התובעים להוכחת תביעתם על כל רכיביה. עם זאת אין בו די על מנת לסלק את התביעה ללא בירורה לגופה. </w:t>
      </w:r>
    </w:p>
    <w:p w:rsidR="003B6B3C" w:rsidRDefault="003B6B3C" w:rsidP="003B6B3C">
      <w:pPr>
        <w:pStyle w:val="ad"/>
        <w:spacing w:line="360" w:lineRule="auto"/>
        <w:ind w:left="567"/>
        <w:jc w:val="both"/>
        <w:rPr>
          <w:rFonts w:ascii="David" w:hAnsi="David"/>
        </w:rPr>
      </w:pPr>
    </w:p>
    <w:p w:rsidR="003B6B3C" w:rsidRDefault="002B4F33" w:rsidP="003B6B3C">
      <w:pPr>
        <w:pStyle w:val="ad"/>
        <w:numPr>
          <w:ilvl w:val="0"/>
          <w:numId w:val="3"/>
        </w:numPr>
        <w:spacing w:line="360" w:lineRule="auto"/>
        <w:jc w:val="both"/>
        <w:rPr>
          <w:rFonts w:ascii="David" w:hAnsi="David"/>
          <w:b/>
          <w:bCs/>
        </w:rPr>
      </w:pPr>
      <w:r>
        <w:rPr>
          <w:rFonts w:ascii="David" w:hAnsi="David"/>
          <w:b/>
          <w:bCs/>
          <w:rtl/>
        </w:rPr>
        <w:t xml:space="preserve">בתביעה התבקשו 2 סעדים: תביעה לביטול ההעברה של דירת המגורים ותביעה לסעד הצהרתי לגבי 3 דירות שבבניין דירת המגורים. כל סעד יידון להלן בנפרד. </w:t>
      </w:r>
    </w:p>
    <w:p w:rsidR="003B6B3C" w:rsidRDefault="003B6B3C" w:rsidP="003B6B3C">
      <w:pPr>
        <w:pStyle w:val="ad"/>
        <w:rPr>
          <w:rFonts w:ascii="David" w:hAnsi="David"/>
          <w:b/>
          <w:bCs/>
        </w:rPr>
      </w:pPr>
    </w:p>
    <w:p w:rsidR="003B6B3C" w:rsidRDefault="002B4F33" w:rsidP="003B6B3C">
      <w:pPr>
        <w:pStyle w:val="ad"/>
        <w:spacing w:line="360" w:lineRule="auto"/>
        <w:ind w:left="0"/>
        <w:jc w:val="both"/>
        <w:rPr>
          <w:rFonts w:ascii="David" w:hAnsi="David"/>
          <w:b/>
          <w:bCs/>
          <w:u w:val="single"/>
          <w:rtl/>
        </w:rPr>
      </w:pPr>
      <w:r>
        <w:rPr>
          <w:rFonts w:ascii="David" w:hAnsi="David"/>
          <w:b/>
          <w:bCs/>
          <w:u w:val="single"/>
          <w:rtl/>
        </w:rPr>
        <w:t xml:space="preserve">1). התביעה לביטול ההעברה ללא תמורה של דירת המגורים של האב המנוח לנתבעת </w:t>
      </w:r>
    </w:p>
    <w:p w:rsidR="003B6B3C" w:rsidRDefault="003B6B3C" w:rsidP="003B6B3C">
      <w:pPr>
        <w:pStyle w:val="ad"/>
        <w:spacing w:line="360" w:lineRule="auto"/>
        <w:ind w:left="567"/>
        <w:jc w:val="both"/>
        <w:rPr>
          <w:rFonts w:ascii="David" w:hAnsi="David"/>
          <w:b/>
          <w:bCs/>
          <w:u w:val="single"/>
        </w:rPr>
      </w:pPr>
    </w:p>
    <w:p w:rsidR="003B6B3C" w:rsidRDefault="002B4F33" w:rsidP="003B6B3C">
      <w:pPr>
        <w:pStyle w:val="ad"/>
        <w:numPr>
          <w:ilvl w:val="0"/>
          <w:numId w:val="3"/>
        </w:numPr>
        <w:spacing w:line="360" w:lineRule="auto"/>
        <w:jc w:val="both"/>
        <w:rPr>
          <w:rFonts w:ascii="David" w:hAnsi="David"/>
          <w:rtl/>
        </w:rPr>
      </w:pPr>
      <w:r>
        <w:rPr>
          <w:rFonts w:ascii="David" w:hAnsi="David"/>
          <w:rtl/>
        </w:rPr>
        <w:t xml:space="preserve">התובעים טענו כי יש להורות על ביטול ההעברה של דירת המגורים ממספר טעמים: </w:t>
      </w:r>
    </w:p>
    <w:p w:rsidR="003B6B3C" w:rsidRDefault="002B4F33" w:rsidP="003B6B3C">
      <w:pPr>
        <w:pStyle w:val="ad"/>
        <w:spacing w:line="360" w:lineRule="auto"/>
        <w:ind w:left="567"/>
        <w:jc w:val="both"/>
        <w:rPr>
          <w:rFonts w:ascii="David" w:hAnsi="David"/>
        </w:rPr>
      </w:pPr>
      <w:r>
        <w:rPr>
          <w:rFonts w:ascii="David" w:hAnsi="David"/>
          <w:rtl/>
        </w:rPr>
        <w:t xml:space="preserve">העדר גמירות דעת של האב לביצוע ההעברה; </w:t>
      </w:r>
    </w:p>
    <w:p w:rsidR="003B6B3C" w:rsidRDefault="002B4F33" w:rsidP="003B6B3C">
      <w:pPr>
        <w:pStyle w:val="ad"/>
        <w:spacing w:line="360" w:lineRule="auto"/>
        <w:ind w:left="567"/>
        <w:jc w:val="both"/>
        <w:rPr>
          <w:rFonts w:ascii="David" w:hAnsi="David"/>
          <w:rtl/>
        </w:rPr>
      </w:pPr>
      <w:r>
        <w:rPr>
          <w:rFonts w:ascii="David" w:hAnsi="David"/>
          <w:rtl/>
        </w:rPr>
        <w:t xml:space="preserve">השפעה בלתי הוגנת של הנתבעים על האב ובהיבט הזה גם היותה של הנתבעת אפוט' למעשה של האב.  </w:t>
      </w:r>
    </w:p>
    <w:p w:rsidR="003B6B3C" w:rsidRDefault="002B4F33" w:rsidP="003B6B3C">
      <w:pPr>
        <w:pStyle w:val="ad"/>
        <w:spacing w:line="360" w:lineRule="auto"/>
        <w:ind w:left="567"/>
        <w:jc w:val="both"/>
        <w:rPr>
          <w:rFonts w:ascii="David" w:hAnsi="David"/>
          <w:rtl/>
        </w:rPr>
      </w:pPr>
      <w:r>
        <w:rPr>
          <w:rFonts w:ascii="David" w:hAnsi="David"/>
          <w:rtl/>
        </w:rPr>
        <w:t xml:space="preserve">טעות והטעיה של האב על ידי הנתבעים; </w:t>
      </w:r>
    </w:p>
    <w:p w:rsidR="003B6B3C" w:rsidRDefault="003B6B3C" w:rsidP="003B6B3C">
      <w:pPr>
        <w:pStyle w:val="ad"/>
        <w:spacing w:line="360" w:lineRule="auto"/>
        <w:ind w:left="567"/>
        <w:jc w:val="both"/>
        <w:rPr>
          <w:rFonts w:ascii="David" w:hAnsi="David"/>
          <w:rtl/>
        </w:rPr>
      </w:pPr>
    </w:p>
    <w:p w:rsidR="003B6B3C" w:rsidRDefault="003B6B3C" w:rsidP="003B6B3C">
      <w:pPr>
        <w:pStyle w:val="ad"/>
        <w:spacing w:line="360" w:lineRule="auto"/>
        <w:ind w:left="567"/>
        <w:jc w:val="both"/>
        <w:rPr>
          <w:rFonts w:ascii="David" w:hAnsi="David"/>
          <w:rtl/>
        </w:rPr>
      </w:pPr>
    </w:p>
    <w:p w:rsidR="003B6B3C" w:rsidRDefault="003B6B3C" w:rsidP="003B6B3C">
      <w:pPr>
        <w:pStyle w:val="ad"/>
        <w:spacing w:line="360" w:lineRule="auto"/>
        <w:ind w:left="567"/>
        <w:jc w:val="both"/>
        <w:rPr>
          <w:rFonts w:ascii="David" w:hAnsi="David"/>
          <w:rtl/>
        </w:rPr>
      </w:pPr>
    </w:p>
    <w:p w:rsidR="003B6B3C" w:rsidRDefault="002B4F33" w:rsidP="003B6B3C">
      <w:pPr>
        <w:pStyle w:val="ad"/>
        <w:numPr>
          <w:ilvl w:val="0"/>
          <w:numId w:val="4"/>
        </w:numPr>
        <w:spacing w:line="360" w:lineRule="auto"/>
        <w:jc w:val="both"/>
        <w:rPr>
          <w:rFonts w:ascii="David" w:hAnsi="David"/>
          <w:b/>
          <w:bCs/>
          <w:u w:val="single"/>
          <w:rtl/>
        </w:rPr>
      </w:pPr>
      <w:r>
        <w:rPr>
          <w:rFonts w:ascii="David" w:hAnsi="David"/>
          <w:b/>
          <w:bCs/>
          <w:u w:val="single"/>
          <w:rtl/>
        </w:rPr>
        <w:lastRenderedPageBreak/>
        <w:t>טענת העדר גמירות הדעת של האב לביצוע ההעברה</w:t>
      </w:r>
    </w:p>
    <w:p w:rsidR="003B6B3C" w:rsidRDefault="003B6B3C" w:rsidP="003B6B3C">
      <w:pPr>
        <w:rPr>
          <w:b/>
          <w:bCs/>
          <w:u w:val="single"/>
          <w:rtl/>
        </w:rPr>
      </w:pPr>
    </w:p>
    <w:p w:rsidR="003B6B3C" w:rsidRDefault="003B6B3C" w:rsidP="003B6B3C">
      <w:pPr>
        <w:rPr>
          <w:rtl/>
        </w:rPr>
      </w:pPr>
    </w:p>
    <w:p w:rsidR="003B6B3C" w:rsidRDefault="002B4F33" w:rsidP="003B6B3C">
      <w:pPr>
        <w:pStyle w:val="ad"/>
        <w:numPr>
          <w:ilvl w:val="0"/>
          <w:numId w:val="3"/>
        </w:numPr>
        <w:spacing w:line="360" w:lineRule="auto"/>
        <w:jc w:val="both"/>
        <w:rPr>
          <w:rFonts w:ascii="David" w:hAnsi="David"/>
          <w:rtl/>
        </w:rPr>
      </w:pPr>
      <w:r>
        <w:rPr>
          <w:rFonts w:ascii="David" w:hAnsi="David"/>
          <w:b/>
          <w:bCs/>
          <w:rtl/>
        </w:rPr>
        <w:t>לטענת התובעים</w:t>
      </w:r>
      <w:r>
        <w:rPr>
          <w:rFonts w:ascii="David" w:hAnsi="David"/>
          <w:rtl/>
        </w:rPr>
        <w:t xml:space="preserve"> המנוח לא היה בעל גמירות דעת לבצע את ההעברה ובפרט כאשר משמעותה של ההעברה הינה העברת הנכס המשמעותי האחרון שהיה בידיו לידי הנתבעת.</w:t>
      </w:r>
    </w:p>
    <w:p w:rsidR="003B6B3C" w:rsidRDefault="003B6B3C" w:rsidP="003B6B3C">
      <w:pPr>
        <w:pStyle w:val="ad"/>
        <w:spacing w:line="360" w:lineRule="auto"/>
        <w:ind w:left="567"/>
        <w:jc w:val="both"/>
        <w:rPr>
          <w:rFonts w:ascii="David" w:hAnsi="David"/>
        </w:rPr>
      </w:pPr>
    </w:p>
    <w:p w:rsidR="003B6B3C" w:rsidRDefault="002B4F33" w:rsidP="003B6B3C">
      <w:pPr>
        <w:pStyle w:val="ad"/>
        <w:numPr>
          <w:ilvl w:val="0"/>
          <w:numId w:val="3"/>
        </w:numPr>
        <w:spacing w:line="360" w:lineRule="auto"/>
        <w:jc w:val="both"/>
        <w:rPr>
          <w:rFonts w:ascii="David" w:hAnsi="David"/>
        </w:rPr>
      </w:pPr>
      <w:r>
        <w:rPr>
          <w:rFonts w:ascii="David" w:hAnsi="David"/>
          <w:b/>
          <w:bCs/>
          <w:rtl/>
        </w:rPr>
        <w:t>לטענת הנתבעים</w:t>
      </w:r>
      <w:r>
        <w:rPr>
          <w:rFonts w:ascii="David" w:hAnsi="David"/>
          <w:rtl/>
        </w:rPr>
        <w:t xml:space="preserve"> לא רק שהמנוח הבין את משמעות ביצוע העסקה אלא שהוא חפץ בה לאור התנהלות התובעים לגבי המגרשים. </w:t>
      </w:r>
    </w:p>
    <w:p w:rsidR="003B6B3C" w:rsidRDefault="003B6B3C" w:rsidP="003B6B3C">
      <w:pPr>
        <w:pStyle w:val="ad"/>
        <w:rPr>
          <w:rFonts w:ascii="David" w:hAnsi="David"/>
        </w:rPr>
      </w:pPr>
    </w:p>
    <w:p w:rsidR="003B6B3C" w:rsidRDefault="002B4F33" w:rsidP="003B6B3C">
      <w:pPr>
        <w:pStyle w:val="ad"/>
        <w:numPr>
          <w:ilvl w:val="0"/>
          <w:numId w:val="3"/>
        </w:numPr>
        <w:spacing w:line="360" w:lineRule="auto"/>
        <w:jc w:val="both"/>
        <w:rPr>
          <w:rFonts w:ascii="David" w:hAnsi="David"/>
          <w:rtl/>
        </w:rPr>
      </w:pPr>
      <w:r>
        <w:rPr>
          <w:rFonts w:ascii="David" w:hAnsi="David"/>
          <w:b/>
          <w:bCs/>
          <w:rtl/>
        </w:rPr>
        <w:t>לאחר בחינת טענות הצדדים, העדויות והראיות – דין טענה זו להידחות. התובעים לא הוכיחו את העדר גמירות הדעת של המנוח.</w:t>
      </w:r>
    </w:p>
    <w:p w:rsidR="003B6B3C" w:rsidRDefault="003B6B3C" w:rsidP="003B6B3C">
      <w:pPr>
        <w:pStyle w:val="ad"/>
        <w:spacing w:line="360" w:lineRule="auto"/>
        <w:ind w:left="567"/>
        <w:jc w:val="both"/>
        <w:rPr>
          <w:rFonts w:ascii="David" w:hAnsi="David"/>
          <w:b/>
          <w:bCs/>
          <w:color w:val="FF0000"/>
          <w:rtl/>
        </w:rPr>
      </w:pPr>
    </w:p>
    <w:p w:rsidR="003B6B3C" w:rsidRDefault="002B4F33" w:rsidP="003B6B3C">
      <w:pPr>
        <w:pStyle w:val="ad"/>
        <w:numPr>
          <w:ilvl w:val="0"/>
          <w:numId w:val="3"/>
        </w:numPr>
        <w:spacing w:line="360" w:lineRule="auto"/>
        <w:jc w:val="both"/>
        <w:rPr>
          <w:rFonts w:ascii="David" w:hAnsi="David"/>
        </w:rPr>
      </w:pPr>
      <w:r>
        <w:rPr>
          <w:rFonts w:ascii="David" w:hAnsi="David"/>
          <w:rtl/>
        </w:rPr>
        <w:t>הפסיקה קבעה מה הקריטריונים הנדרשים לבחינה בהיבט של גמירות דעת בהסכם מתנה:</w:t>
      </w:r>
    </w:p>
    <w:p w:rsidR="003B6B3C" w:rsidRDefault="003B6B3C" w:rsidP="003B6B3C">
      <w:pPr>
        <w:pStyle w:val="ad"/>
        <w:rPr>
          <w:rFonts w:ascii="David" w:hAnsi="David"/>
        </w:rPr>
      </w:pPr>
    </w:p>
    <w:p w:rsidR="003B6B3C" w:rsidRDefault="002B4F33" w:rsidP="003B6B3C">
      <w:pPr>
        <w:pStyle w:val="ad"/>
        <w:spacing w:line="360" w:lineRule="auto"/>
        <w:ind w:left="567"/>
        <w:jc w:val="both"/>
        <w:rPr>
          <w:rFonts w:ascii="David" w:hAnsi="David"/>
          <w:b/>
          <w:bCs/>
          <w:u w:val="single"/>
        </w:rPr>
      </w:pPr>
      <w:r>
        <w:rPr>
          <w:rFonts w:ascii="David" w:hAnsi="David"/>
          <w:b/>
          <w:bCs/>
          <w:rtl/>
        </w:rPr>
        <w:t xml:space="preserve">"הזכרנו לעיל, כי במהותו ההסכם מושא הדיון הוא הסכם מתנה. אין חולק, כי המשיב לא נתן למערערת כל תמורה עבור העברת דירתה היחידה לידיו (תוך שימור זכותה למגורים לשארית חייה). </w:t>
      </w:r>
      <w:r>
        <w:rPr>
          <w:rFonts w:ascii="David" w:hAnsi="David"/>
          <w:b/>
          <w:bCs/>
          <w:u w:val="single"/>
          <w:rtl/>
        </w:rPr>
        <w:t>סעיף 2 לחוק המתנה, התשכ"ח – 1968 (להלן – חוק המתנה) מבהיר, כי הסכם למתן מתנה הוא חוזה, וכדי ליצור מתנה - כמו כל חוזה אחר - נדרשת הסכמה וגמירת דעת של המתקשרים בו. בחוק המתנה אין הוראה בדבר מהותה של גמירת הדעת הנדרשת. לפיכך, על מנת לבחון האם התקיימה במנוח גמירת הדעת הדרושה לביצוע הסכם המתנה, יש לפנות למבחן האובייקטיבי הקבוע בדיני החוזים הכלליים</w:t>
      </w:r>
      <w:r>
        <w:rPr>
          <w:rFonts w:ascii="David" w:hAnsi="David"/>
          <w:b/>
          <w:bCs/>
          <w:u w:val="single"/>
        </w:rPr>
        <w:t>.</w:t>
      </w:r>
    </w:p>
    <w:p w:rsidR="003B6B3C" w:rsidRDefault="002B4F33" w:rsidP="003B6B3C">
      <w:pPr>
        <w:pStyle w:val="ad"/>
        <w:spacing w:line="360" w:lineRule="auto"/>
        <w:ind w:left="502"/>
        <w:jc w:val="both"/>
        <w:rPr>
          <w:rFonts w:ascii="David" w:hAnsi="David"/>
          <w:b/>
          <w:bCs/>
          <w:rtl/>
        </w:rPr>
      </w:pPr>
      <w:r>
        <w:rPr>
          <w:rFonts w:ascii="David" w:hAnsi="David" w:cs="Times New Roman" w:hint="cs"/>
          <w:b/>
          <w:bCs/>
          <w:rtl/>
        </w:rPr>
        <w:t> </w:t>
      </w:r>
    </w:p>
    <w:p w:rsidR="003B6B3C" w:rsidRDefault="002B4F33" w:rsidP="003B6B3C">
      <w:pPr>
        <w:pStyle w:val="ad"/>
        <w:spacing w:line="360" w:lineRule="auto"/>
        <w:ind w:left="567"/>
        <w:jc w:val="both"/>
        <w:rPr>
          <w:rFonts w:ascii="David" w:hAnsi="David"/>
        </w:rPr>
      </w:pPr>
      <w:r>
        <w:rPr>
          <w:rFonts w:ascii="David" w:hAnsi="David"/>
          <w:b/>
          <w:bCs/>
          <w:rtl/>
        </w:rPr>
        <w:t xml:space="preserve">על פי מבחן זה, יש להידרש להתנהגות הצדדים ולנסיבות העניין לפני כריתת החוזה ולאחריו. בתוך כך, יש לתת את הדעת לאופי העסקה, במקרה זה עסקת מתנה. </w:t>
      </w:r>
      <w:r>
        <w:rPr>
          <w:rFonts w:ascii="David" w:hAnsi="David"/>
          <w:b/>
          <w:bCs/>
          <w:u w:val="single"/>
          <w:rtl/>
        </w:rPr>
        <w:t>המגמה הכללית בדיני המתנה היא להגן בעיקר על נותן המתנה, להבדיל ממקבלה. הגיונה של גישה זו טמון בכך, שמקבל המתנה הוא צד שלא תרם מצדו דבר לעסקה ושכל מה שניתן לו - בחסד ניתן. לפיכך, הוא איננו זכאי לאותה מידה של הגנה הניתנת למי שתרם לעסקה החוזית, הוא נותן המתנה. לפיכך,</w:t>
      </w:r>
      <w:r>
        <w:rPr>
          <w:rFonts w:ascii="David" w:hAnsi="David"/>
          <w:b/>
          <w:bCs/>
          <w:rtl/>
        </w:rPr>
        <w:t xml:space="preserve"> </w:t>
      </w:r>
      <w:r>
        <w:rPr>
          <w:rFonts w:ascii="David" w:hAnsi="David"/>
          <w:b/>
          <w:bCs/>
          <w:u w:val="single"/>
          <w:rtl/>
        </w:rPr>
        <w:t>בעסקת מתנה מתחייבת רמה גבוהה יותר של הוכחת גמירת דעת של הנותן - כי זו ניתנה ברצון חופשי ומתוך הבנה מלאה</w:t>
      </w:r>
      <w:r>
        <w:rPr>
          <w:rFonts w:ascii="David" w:hAnsi="David"/>
          <w:b/>
          <w:bCs/>
          <w:rtl/>
        </w:rPr>
        <w:t>; וניתן יהיה להכיר בציפיות מקבל המתנה כלגיטימיות, אך כאשר הנסיבות והתנהגות הצדדים מצביעים בצורה ברורה וחד משמעית על כוונת המעניק להתקשר בחוזה. נוכח אופי עסקת המתנה, ישנה אפוא ציפייה סבירה שמקבל המתנה יעמוד על כוונות המעניק ויוודא כי הגילוי החיצוני של רצונו משקף נאמנה את כוונתו הסובייקטיבית [...]".</w:t>
      </w:r>
      <w:r>
        <w:rPr>
          <w:rFonts w:ascii="David" w:hAnsi="David"/>
          <w:rtl/>
        </w:rPr>
        <w:t xml:space="preserve"> (ההדגשות בקו – הוספו).</w:t>
      </w:r>
    </w:p>
    <w:p w:rsidR="003B6B3C" w:rsidRDefault="002B4F33" w:rsidP="003B6B3C">
      <w:pPr>
        <w:pStyle w:val="ad"/>
        <w:spacing w:line="360" w:lineRule="auto"/>
        <w:ind w:left="567"/>
        <w:jc w:val="both"/>
        <w:rPr>
          <w:rFonts w:ascii="David" w:hAnsi="David"/>
          <w:b/>
          <w:bCs/>
        </w:rPr>
      </w:pPr>
      <w:r>
        <w:rPr>
          <w:rFonts w:ascii="David" w:hAnsi="David"/>
          <w:rtl/>
        </w:rPr>
        <w:t>ראו: ע"א 12734-07-22</w:t>
      </w:r>
      <w:r>
        <w:rPr>
          <w:rFonts w:ascii="David" w:hAnsi="David"/>
        </w:rPr>
        <w:t xml:space="preserve"> </w:t>
      </w:r>
      <w:r>
        <w:rPr>
          <w:rFonts w:ascii="David" w:hAnsi="David"/>
          <w:rtl/>
        </w:rPr>
        <w:t xml:space="preserve"> </w:t>
      </w:r>
      <w:r>
        <w:rPr>
          <w:rFonts w:ascii="Miriam" w:hAnsi="Miriam" w:cs="Miriam"/>
          <w:rtl/>
        </w:rPr>
        <w:t>א.ב.ז נ' א.ב.ז</w:t>
      </w:r>
      <w:r>
        <w:rPr>
          <w:rFonts w:ascii="David" w:hAnsi="David"/>
          <w:rtl/>
        </w:rPr>
        <w:t xml:space="preserve"> (3.1.2023), סעיפים 9-8 לפסק הדין של כב' השופטים שחם, רובין ופלקס.</w:t>
      </w:r>
    </w:p>
    <w:p w:rsidR="003B6B3C" w:rsidRDefault="003B6B3C" w:rsidP="003B6B3C">
      <w:pPr>
        <w:pStyle w:val="ad"/>
        <w:rPr>
          <w:rFonts w:ascii="David" w:hAnsi="David"/>
          <w:b/>
          <w:bCs/>
          <w:color w:val="FF0000"/>
        </w:rPr>
      </w:pPr>
    </w:p>
    <w:p w:rsidR="003B6B3C" w:rsidRDefault="002B4F33" w:rsidP="003B6B3C">
      <w:pPr>
        <w:pStyle w:val="ad"/>
        <w:numPr>
          <w:ilvl w:val="0"/>
          <w:numId w:val="3"/>
        </w:numPr>
        <w:spacing w:line="360" w:lineRule="auto"/>
        <w:jc w:val="both"/>
        <w:rPr>
          <w:rFonts w:ascii="David" w:hAnsi="David"/>
          <w:rtl/>
        </w:rPr>
      </w:pPr>
      <w:r>
        <w:rPr>
          <w:rFonts w:ascii="David" w:hAnsi="David"/>
          <w:rtl/>
        </w:rPr>
        <w:lastRenderedPageBreak/>
        <w:t xml:space="preserve">האב המנוח לא ידע קרוא וכתוב. עובדה זו אינה שנויה במחלוקת והיא צוינה גם על ידו בהליכים השונים שהתנהלו. דבר זה לא מנע ממנו לאורך השנים לעבוד ולהשתכר ולנהל </w:t>
      </w:r>
      <w:r w:rsidR="00A64579">
        <w:rPr>
          <w:rFonts w:ascii="David" w:hAnsi="David"/>
          <w:rtl/>
        </w:rPr>
        <w:t>ח</w:t>
      </w:r>
      <w:r w:rsidR="00A64579">
        <w:rPr>
          <w:rFonts w:ascii="David" w:hAnsi="David" w:hint="cs"/>
          <w:rtl/>
        </w:rPr>
        <w:t>י</w:t>
      </w:r>
      <w:r w:rsidR="00A64579">
        <w:rPr>
          <w:rFonts w:ascii="David" w:hAnsi="David"/>
          <w:rtl/>
        </w:rPr>
        <w:t xml:space="preserve">י </w:t>
      </w:r>
      <w:r>
        <w:rPr>
          <w:rFonts w:ascii="David" w:hAnsi="David"/>
          <w:rtl/>
        </w:rPr>
        <w:t xml:space="preserve">משפחה וחיים עצמאים עד לפטירת האם המנוחה. </w:t>
      </w:r>
    </w:p>
    <w:p w:rsidR="003B6B3C" w:rsidRDefault="003B6B3C" w:rsidP="003B6B3C">
      <w:pPr>
        <w:pStyle w:val="ad"/>
        <w:spacing w:line="360" w:lineRule="auto"/>
        <w:ind w:left="567"/>
        <w:jc w:val="both"/>
        <w:rPr>
          <w:rFonts w:ascii="David" w:hAnsi="David"/>
        </w:rPr>
      </w:pPr>
    </w:p>
    <w:p w:rsidR="003B6B3C" w:rsidRDefault="002B4F33" w:rsidP="003B6B3C">
      <w:pPr>
        <w:pStyle w:val="ad"/>
        <w:numPr>
          <w:ilvl w:val="0"/>
          <w:numId w:val="3"/>
        </w:numPr>
        <w:spacing w:line="360" w:lineRule="auto"/>
        <w:jc w:val="both"/>
        <w:rPr>
          <w:rFonts w:ascii="David" w:hAnsi="David"/>
        </w:rPr>
      </w:pPr>
      <w:r>
        <w:rPr>
          <w:rFonts w:ascii="David" w:hAnsi="David"/>
          <w:rtl/>
        </w:rPr>
        <w:t>בנוסף, יש לקחת בחשבון כי מדובר בדירת המגורים של האב והנכס המרכזי והמהותי שלו.</w:t>
      </w:r>
    </w:p>
    <w:p w:rsidR="003B6B3C" w:rsidRDefault="003B6B3C" w:rsidP="003B6B3C">
      <w:pPr>
        <w:pStyle w:val="ad"/>
        <w:spacing w:line="360" w:lineRule="auto"/>
        <w:ind w:left="567"/>
        <w:jc w:val="both"/>
        <w:rPr>
          <w:rFonts w:ascii="David" w:hAnsi="David"/>
        </w:rPr>
      </w:pPr>
    </w:p>
    <w:p w:rsidR="003B6B3C" w:rsidRDefault="002B4F33" w:rsidP="003B6B3C">
      <w:pPr>
        <w:pStyle w:val="ad"/>
        <w:numPr>
          <w:ilvl w:val="0"/>
          <w:numId w:val="3"/>
        </w:numPr>
        <w:spacing w:line="360" w:lineRule="auto"/>
        <w:jc w:val="both"/>
        <w:rPr>
          <w:rFonts w:ascii="David" w:hAnsi="David"/>
        </w:rPr>
      </w:pPr>
      <w:r>
        <w:rPr>
          <w:rFonts w:ascii="David" w:hAnsi="David"/>
          <w:rtl/>
        </w:rPr>
        <w:t xml:space="preserve">הוכח כי בסמוך לביצוע ההעברה נודע לאב לטענתו על העברת המגרשים לידי התובעים 1-2. מאחר והשיהוי בענין זה רב, לא ניתן לברר את הדברים בזמן אמת ולשמוע גם את עמדתו של האב. אולם מהעדויות שנשמעו עולה כי האב ידע לנמק את ביצוע ההעברה לבת במועד בו נערכה (2/2015), לאחר שלטענתו גילה בשנת 2014 על העברת המגרשים ממנו אל התובעים, שלטענתו הייתה בניגוד לרצונו. לטענת התובעים הדברים אינם נכונים ונעשו לשביעות רצונו של האב ומאחר ולא רצה לשאת בחובות שרבצו על המגרשים. נושא המגרשים אינו נדרש להכרעה אולם הוכח כי הוא היה ברקע הדברים בצורה משמעותית לשיטת כל הצדדים. </w:t>
      </w:r>
    </w:p>
    <w:p w:rsidR="003B6B3C" w:rsidRDefault="003B6B3C" w:rsidP="003B6B3C">
      <w:pPr>
        <w:pStyle w:val="ad"/>
        <w:rPr>
          <w:rFonts w:ascii="David" w:hAnsi="David"/>
        </w:rPr>
      </w:pPr>
    </w:p>
    <w:p w:rsidR="003B6B3C" w:rsidRDefault="002B4F33" w:rsidP="003B6B3C">
      <w:pPr>
        <w:pStyle w:val="ad"/>
        <w:numPr>
          <w:ilvl w:val="0"/>
          <w:numId w:val="3"/>
        </w:numPr>
        <w:spacing w:line="360" w:lineRule="auto"/>
        <w:jc w:val="both"/>
        <w:rPr>
          <w:rFonts w:ascii="David" w:hAnsi="David"/>
          <w:rtl/>
        </w:rPr>
      </w:pPr>
      <w:r>
        <w:rPr>
          <w:rFonts w:ascii="David" w:hAnsi="David"/>
          <w:rtl/>
        </w:rPr>
        <w:t xml:space="preserve">גם לשיטתם של התובעים האב בעת ביצוע ההעברה היה כשיר. הבקשה למינוי אפוט' הוגשה רק בחודש 12/2018. לא נטען על ידם כי באותה לא יכול היה לקבל החלטות. </w:t>
      </w:r>
    </w:p>
    <w:p w:rsidR="003B6B3C" w:rsidRDefault="003B6B3C" w:rsidP="003B6B3C">
      <w:pPr>
        <w:pStyle w:val="ad"/>
        <w:rPr>
          <w:rFonts w:ascii="David" w:hAnsi="David"/>
        </w:rPr>
      </w:pPr>
    </w:p>
    <w:p w:rsidR="003B6B3C" w:rsidRDefault="002B4F33" w:rsidP="003B6B3C">
      <w:pPr>
        <w:pStyle w:val="ad"/>
        <w:numPr>
          <w:ilvl w:val="0"/>
          <w:numId w:val="3"/>
        </w:numPr>
        <w:spacing w:line="360" w:lineRule="auto"/>
        <w:jc w:val="both"/>
        <w:rPr>
          <w:rFonts w:ascii="David" w:hAnsi="David"/>
          <w:rtl/>
        </w:rPr>
      </w:pPr>
      <w:r>
        <w:rPr>
          <w:rFonts w:ascii="David" w:hAnsi="David"/>
          <w:rtl/>
        </w:rPr>
        <w:t xml:space="preserve">על מנת להוכיח העדר גמירות דעת נדרשת רמת הוכחה גבוהה הרבה יותר ממה שהוכיחו התובעים. גם אם יש ספקות מהותיים הרי שאין בהם להוכיח כי האב לא ידע כלל על מה הוא חותם ונעדר גמירות דעת. </w:t>
      </w:r>
    </w:p>
    <w:p w:rsidR="003B6B3C" w:rsidRDefault="003B6B3C" w:rsidP="003B6B3C">
      <w:pPr>
        <w:pStyle w:val="ad"/>
        <w:rPr>
          <w:rFonts w:ascii="David" w:hAnsi="David"/>
        </w:rPr>
      </w:pPr>
    </w:p>
    <w:p w:rsidR="003B6B3C" w:rsidRDefault="002B4F33" w:rsidP="003B6B3C">
      <w:pPr>
        <w:pStyle w:val="ad"/>
        <w:numPr>
          <w:ilvl w:val="0"/>
          <w:numId w:val="3"/>
        </w:numPr>
        <w:spacing w:line="360" w:lineRule="auto"/>
        <w:jc w:val="both"/>
        <w:rPr>
          <w:rFonts w:ascii="David" w:hAnsi="David"/>
          <w:rtl/>
        </w:rPr>
      </w:pPr>
      <w:r>
        <w:rPr>
          <w:rFonts w:ascii="David" w:hAnsi="David"/>
          <w:rtl/>
        </w:rPr>
        <w:t>התובעים לא ביקשו מינוי מומחה למועד ביצוע ההעברה. מהמסמכים שצירפה הנתבעת עולה כי באותה העת האב היה עצמאי, היה לו סדר יום קבוע שכלל יציאה מהבית ופעילויות שונות.</w:t>
      </w:r>
    </w:p>
    <w:p w:rsidR="003B6B3C" w:rsidRDefault="003B6B3C" w:rsidP="003B6B3C">
      <w:pPr>
        <w:pStyle w:val="ad"/>
        <w:rPr>
          <w:rFonts w:ascii="David" w:hAnsi="David"/>
        </w:rPr>
      </w:pPr>
    </w:p>
    <w:p w:rsidR="003B6B3C" w:rsidRDefault="002B4F33" w:rsidP="003B6B3C">
      <w:pPr>
        <w:pStyle w:val="ad"/>
        <w:numPr>
          <w:ilvl w:val="0"/>
          <w:numId w:val="3"/>
        </w:numPr>
        <w:spacing w:line="360" w:lineRule="auto"/>
        <w:jc w:val="both"/>
        <w:rPr>
          <w:rFonts w:ascii="David" w:hAnsi="David"/>
          <w:rtl/>
        </w:rPr>
      </w:pPr>
      <w:r>
        <w:rPr>
          <w:rFonts w:ascii="David" w:hAnsi="David"/>
          <w:rtl/>
        </w:rPr>
        <w:t xml:space="preserve">על כן ולאחר בחינת מכלול הטענות והראיות לא שוכנעתי כי התובעים הוכיחו כי האב לא היה בעל גמירות דעת לבצע את ההעברה. </w:t>
      </w:r>
    </w:p>
    <w:p w:rsidR="003B6B3C" w:rsidRDefault="003B6B3C" w:rsidP="003B6B3C">
      <w:pPr>
        <w:pStyle w:val="ad"/>
        <w:spacing w:line="360" w:lineRule="auto"/>
        <w:ind w:left="567"/>
        <w:jc w:val="both"/>
        <w:rPr>
          <w:rFonts w:ascii="David" w:hAnsi="David"/>
        </w:rPr>
      </w:pPr>
    </w:p>
    <w:p w:rsidR="003B6B3C" w:rsidRDefault="002B4F33" w:rsidP="003B6B3C">
      <w:pPr>
        <w:pStyle w:val="ad"/>
        <w:numPr>
          <w:ilvl w:val="0"/>
          <w:numId w:val="4"/>
        </w:numPr>
        <w:spacing w:line="360" w:lineRule="auto"/>
        <w:jc w:val="both"/>
        <w:rPr>
          <w:rFonts w:ascii="David" w:hAnsi="David"/>
          <w:b/>
          <w:bCs/>
          <w:u w:val="single"/>
          <w:rtl/>
        </w:rPr>
      </w:pPr>
      <w:r>
        <w:rPr>
          <w:rFonts w:ascii="David" w:hAnsi="David"/>
          <w:b/>
          <w:bCs/>
          <w:u w:val="single"/>
          <w:rtl/>
        </w:rPr>
        <w:t>טענת השפעה הבלתי הוגנת של הנתבע על האב</w:t>
      </w:r>
    </w:p>
    <w:p w:rsidR="003B6B3C" w:rsidRDefault="003B6B3C" w:rsidP="003B6B3C">
      <w:pPr>
        <w:rPr>
          <w:b/>
          <w:bCs/>
          <w:u w:val="single"/>
          <w:rtl/>
        </w:rPr>
      </w:pPr>
    </w:p>
    <w:p w:rsidR="003B6B3C" w:rsidRDefault="002B4F33" w:rsidP="003B6B3C">
      <w:pPr>
        <w:pStyle w:val="ad"/>
        <w:numPr>
          <w:ilvl w:val="0"/>
          <w:numId w:val="3"/>
        </w:numPr>
        <w:spacing w:line="360" w:lineRule="auto"/>
        <w:jc w:val="both"/>
        <w:rPr>
          <w:rFonts w:ascii="David" w:hAnsi="David"/>
          <w:rtl/>
        </w:rPr>
      </w:pPr>
      <w:r>
        <w:rPr>
          <w:rFonts w:ascii="David" w:hAnsi="David"/>
          <w:rtl/>
        </w:rPr>
        <w:t xml:space="preserve">הפסיקה הכירה באפשרות של החלת דיני ההשפעה הבלתי הוגנת במקרה של הענקות חד צדדיות ומתנות (ראו: ע"א 236/84 </w:t>
      </w:r>
      <w:r>
        <w:rPr>
          <w:rFonts w:ascii="Miriam" w:hAnsi="Miriam" w:cs="Miriam"/>
          <w:rtl/>
        </w:rPr>
        <w:t>עזבון המנוחה הלל יפה נ' קלצ'קין</w:t>
      </w:r>
      <w:r>
        <w:rPr>
          <w:rFonts w:ascii="David" w:hAnsi="David"/>
          <w:rtl/>
        </w:rPr>
        <w:t>, פ"ד מה (5) 13; ע"א (ת"א) 1612/</w:t>
      </w:r>
      <w:r>
        <w:rPr>
          <w:rFonts w:ascii="Miriam" w:hAnsi="Miriam" w:cs="Miriam"/>
          <w:rtl/>
        </w:rPr>
        <w:t>03 גרינפלד נ' בן צבי וולי</w:t>
      </w:r>
      <w:r>
        <w:rPr>
          <w:rFonts w:ascii="David" w:hAnsi="David"/>
          <w:rtl/>
        </w:rPr>
        <w:t>, תשס"ג (1) 835. כב' השופטת שטמר קובעת כי יש מקום במקרים מתאימים להחיל את דיני ההשפעה בלתי הוגנת גם לגבי מתנה:</w:t>
      </w:r>
    </w:p>
    <w:p w:rsidR="003B6B3C" w:rsidRDefault="002B4F33" w:rsidP="003B6B3C">
      <w:pPr>
        <w:pStyle w:val="ad"/>
        <w:spacing w:line="360" w:lineRule="auto"/>
        <w:ind w:left="567"/>
        <w:jc w:val="both"/>
        <w:rPr>
          <w:rFonts w:ascii="David" w:hAnsi="David"/>
          <w:b/>
          <w:bCs/>
          <w:rtl/>
        </w:rPr>
      </w:pPr>
      <w:r>
        <w:rPr>
          <w:rFonts w:ascii="David" w:hAnsi="David"/>
          <w:rtl/>
        </w:rPr>
        <w:t>"</w:t>
      </w:r>
      <w:r>
        <w:rPr>
          <w:rFonts w:ascii="David" w:hAnsi="David"/>
          <w:b/>
          <w:bCs/>
          <w:rtl/>
        </w:rPr>
        <w:t xml:space="preserve">60. דיני ההשפעה הבלתי הוגנת נקלטו במשפט הישראלי מכוח סימן 46 לדבר המלך במועצתו אף טרם שנחקק חוק החוזים,. חוק החוזים אינו מזכיר את נושא ההשפעה הבלתי הוגנת, ותחת זאת קובע את עילת העושק כאחת העילות המאפשרות ביטול חוזה. </w:t>
      </w:r>
    </w:p>
    <w:p w:rsidR="003B6B3C" w:rsidRDefault="002B4F33" w:rsidP="003B6B3C">
      <w:pPr>
        <w:pStyle w:val="ad"/>
        <w:spacing w:line="360" w:lineRule="auto"/>
        <w:ind w:left="567"/>
        <w:jc w:val="both"/>
        <w:rPr>
          <w:rFonts w:ascii="David" w:hAnsi="David"/>
          <w:b/>
          <w:bCs/>
          <w:u w:val="single"/>
        </w:rPr>
      </w:pPr>
      <w:r>
        <w:rPr>
          <w:rFonts w:ascii="David" w:hAnsi="David"/>
          <w:b/>
          <w:bCs/>
          <w:u w:val="single"/>
          <w:rtl/>
        </w:rPr>
        <w:lastRenderedPageBreak/>
        <w:t xml:space="preserve">בסעיף 30 לחוק הירושה, תשכ"ה-1965 מופיעה "ההשפעה הבלתי הוגנת" כעילה לביטול צוואה. </w:t>
      </w:r>
    </w:p>
    <w:p w:rsidR="003B6B3C" w:rsidRDefault="002B4F33" w:rsidP="003B6B3C">
      <w:pPr>
        <w:pStyle w:val="ad"/>
        <w:spacing w:line="360" w:lineRule="auto"/>
        <w:ind w:left="567"/>
        <w:jc w:val="both"/>
        <w:rPr>
          <w:rFonts w:ascii="David" w:hAnsi="David"/>
          <w:b/>
          <w:bCs/>
          <w:rtl/>
        </w:rPr>
      </w:pPr>
      <w:r>
        <w:rPr>
          <w:rFonts w:ascii="David" w:hAnsi="David"/>
          <w:b/>
          <w:bCs/>
          <w:u w:val="single"/>
          <w:rtl/>
        </w:rPr>
        <w:t>דיני ההשפעה הבלתי הוגנת מוחלים גם לגבי מתנה</w:t>
      </w:r>
      <w:r>
        <w:rPr>
          <w:rFonts w:ascii="David" w:hAnsi="David"/>
          <w:b/>
          <w:bCs/>
          <w:rtl/>
        </w:rPr>
        <w:t xml:space="preserve"> (ספרם של פרידמן וכהן, כרך ב' 993; </w:t>
      </w:r>
      <w:hyperlink w:history="1">
        <w:r>
          <w:rPr>
            <w:rFonts w:ascii="David" w:hAnsi="David"/>
            <w:b/>
            <w:bCs/>
            <w:rtl/>
          </w:rPr>
          <w:t>-Hyperlink Removed-</w:t>
        </w:r>
      </w:hyperlink>
      <w:r>
        <w:rPr>
          <w:rFonts w:ascii="David" w:hAnsi="David"/>
          <w:b/>
          <w:bCs/>
          <w:rtl/>
        </w:rPr>
        <w:t xml:space="preserve"> 236/84).  </w:t>
      </w:r>
    </w:p>
    <w:p w:rsidR="003B6B3C" w:rsidRDefault="002B4F33" w:rsidP="003B6B3C">
      <w:pPr>
        <w:pStyle w:val="ad"/>
        <w:spacing w:line="360" w:lineRule="auto"/>
        <w:ind w:left="567"/>
        <w:jc w:val="both"/>
        <w:rPr>
          <w:rFonts w:ascii="David" w:hAnsi="David"/>
          <w:b/>
          <w:bCs/>
          <w:rtl/>
        </w:rPr>
      </w:pPr>
      <w:r>
        <w:rPr>
          <w:rFonts w:ascii="David" w:hAnsi="David"/>
          <w:b/>
          <w:bCs/>
          <w:rtl/>
        </w:rPr>
        <w:t>61. על מנת שתקבע "השפעה בלתי הוגנת" נקבעת, על בית המשפט להשתכנע כי היתה השפעה פסיכולוגית או נפשית של אחד המתקשרים בהסכם, שגרמה לו לכך שלא היה לשני שיקול דעת עצמאי כשהתקשר בהסכם:</w:t>
      </w:r>
    </w:p>
    <w:p w:rsidR="003B6B3C" w:rsidRDefault="002B4F33" w:rsidP="003B6B3C">
      <w:pPr>
        <w:pStyle w:val="ad"/>
        <w:spacing w:line="360" w:lineRule="auto"/>
        <w:ind w:left="567"/>
        <w:jc w:val="both"/>
        <w:rPr>
          <w:rtl/>
        </w:rPr>
      </w:pPr>
      <w:r>
        <w:rPr>
          <w:rFonts w:ascii="David" w:hAnsi="David"/>
          <w:b/>
          <w:bCs/>
          <w:rtl/>
        </w:rPr>
        <w:t>"</w:t>
      </w:r>
      <w:r>
        <w:rPr>
          <w:rFonts w:ascii="David" w:hAnsi="David"/>
          <w:b/>
          <w:bCs/>
          <w:u w:val="single"/>
          <w:rtl/>
        </w:rPr>
        <w:t>אם הצד בעל ההשפעה מנצל את מעמדו ואת תלותו של הצד האחר, באופן שהוא מפיק לעצמו או לצד שלישי (שלא פעל בתמורה ובתום לב) יתרון בלתי הוגן על דרך של מתנה, צוואה או חוזה, ניתנת הפעולה לביטול על ידי הצד שפעל תחת אותה השפעה</w:t>
      </w:r>
      <w:r>
        <w:rPr>
          <w:rFonts w:ascii="David" w:hAnsi="David"/>
          <w:b/>
          <w:bCs/>
          <w:rtl/>
        </w:rPr>
        <w:t>. 'עקרון זה' בעניין השפעה לא הוגנת, כך נאמר, 'חל על כל מקרה שבו נרכשת השפעה ומשתמשים בה לרעה, שבו שם אדם את מבטחו באחר והלה מאכזבו'. אמירה אחרונה זו מבליטה את העובדה שהצד האחד נתן אמונו (</w:t>
      </w:r>
      <w:r>
        <w:rPr>
          <w:rFonts w:ascii="David" w:hAnsi="David"/>
          <w:b/>
          <w:bCs/>
        </w:rPr>
        <w:t>confidence</w:t>
      </w:r>
      <w:r>
        <w:rPr>
          <w:rFonts w:ascii="David" w:hAnsi="David"/>
          <w:b/>
          <w:bCs/>
          <w:rtl/>
        </w:rPr>
        <w:t xml:space="preserve">) בצד האחר. </w:t>
      </w:r>
      <w:r>
        <w:rPr>
          <w:rFonts w:ascii="David" w:hAnsi="David"/>
          <w:b/>
          <w:bCs/>
          <w:u w:val="single"/>
          <w:rtl/>
        </w:rPr>
        <w:t>אמון זה הוא שמקנה לצד האחר את השפעתו, והשפעה לא הוגנת משמעה שימוש לרעה באמון או ניצול האמון שזכה בו בעל ההשפעה... לעובדה שהעיסקה היא בלתי מאוזנת ובלתי הוגנת יש ערך ראייתי להוכחת הטענה של השפעה בלתי הוגנת כשם שיש לה משקל דומה בהקשר לטענת עושק" (ספרם של פרידמן וכהן, 995-997)</w:t>
      </w:r>
      <w:r>
        <w:rPr>
          <w:rFonts w:ascii="David" w:hAnsi="David"/>
          <w:b/>
          <w:bCs/>
          <w:rtl/>
        </w:rPr>
        <w:t>.</w:t>
      </w:r>
      <w:r>
        <w:rPr>
          <w:rFonts w:ascii="David" w:hAnsi="David"/>
          <w:rtl/>
        </w:rPr>
        <w:t>" (ההדגשות בקו הוספו)</w:t>
      </w:r>
      <w:r>
        <w:rPr>
          <w:rtl/>
        </w:rPr>
        <w:t xml:space="preserve">  </w:t>
      </w:r>
    </w:p>
    <w:p w:rsidR="003B6B3C" w:rsidRDefault="002B4F33" w:rsidP="003B6B3C">
      <w:pPr>
        <w:pStyle w:val="ad"/>
        <w:spacing w:line="360" w:lineRule="auto"/>
        <w:ind w:left="567"/>
        <w:jc w:val="both"/>
        <w:rPr>
          <w:rFonts w:ascii="David" w:hAnsi="David"/>
          <w:rtl/>
        </w:rPr>
      </w:pPr>
      <w:r>
        <w:rPr>
          <w:rFonts w:ascii="David" w:hAnsi="David"/>
          <w:rtl/>
        </w:rPr>
        <w:t xml:space="preserve">ראו: ה"פ 8268-03-09 </w:t>
      </w:r>
      <w:r>
        <w:rPr>
          <w:rFonts w:ascii="Miriam" w:hAnsi="Miriam" w:cs="Miriam"/>
          <w:rtl/>
        </w:rPr>
        <w:t>יי א' – חסויה נ' וקנין ואח'</w:t>
      </w:r>
      <w:r>
        <w:rPr>
          <w:rFonts w:ascii="David" w:hAnsi="David"/>
          <w:rtl/>
        </w:rPr>
        <w:t xml:space="preserve"> סעיפים 60-61 לפסק דינה של כב' השופטת שטמר (9.9.2011).</w:t>
      </w:r>
    </w:p>
    <w:p w:rsidR="003B6B3C" w:rsidRDefault="003B6B3C" w:rsidP="003B6B3C">
      <w:pPr>
        <w:pStyle w:val="ad"/>
        <w:spacing w:line="360" w:lineRule="auto"/>
        <w:ind w:left="567"/>
        <w:jc w:val="both"/>
        <w:rPr>
          <w:rFonts w:ascii="David" w:hAnsi="David"/>
          <w:rtl/>
        </w:rPr>
      </w:pPr>
    </w:p>
    <w:p w:rsidR="003B6B3C" w:rsidRDefault="002B4F33" w:rsidP="003B6B3C">
      <w:pPr>
        <w:pStyle w:val="ad"/>
        <w:numPr>
          <w:ilvl w:val="0"/>
          <w:numId w:val="3"/>
        </w:numPr>
        <w:spacing w:line="360" w:lineRule="auto"/>
        <w:jc w:val="both"/>
        <w:rPr>
          <w:b/>
          <w:bCs/>
          <w:noProof w:val="0"/>
          <w:rtl/>
        </w:rPr>
      </w:pPr>
      <w:r>
        <w:rPr>
          <w:b/>
          <w:bCs/>
          <w:noProof w:val="0"/>
          <w:rtl/>
        </w:rPr>
        <w:t>לאחר בחינת העדויות, הראיות והעדויות שוכנעתי שהתובעים הוכיחו כי הייתה השפעה בלתי הוגנת שהובילה את האב לביצוע ההעברה ועל כן יש להורות על ביטול העברת דירת המגורים מהאב לנתבעת.</w:t>
      </w:r>
    </w:p>
    <w:p w:rsidR="003B6B3C" w:rsidRDefault="003B6B3C" w:rsidP="003B6B3C">
      <w:pPr>
        <w:pStyle w:val="ad"/>
        <w:spacing w:line="360" w:lineRule="auto"/>
        <w:ind w:left="567"/>
        <w:jc w:val="both"/>
        <w:rPr>
          <w:b/>
          <w:bCs/>
          <w:noProof w:val="0"/>
        </w:rPr>
      </w:pPr>
    </w:p>
    <w:p w:rsidR="003B6B3C" w:rsidRDefault="002B4F33" w:rsidP="003B6B3C">
      <w:pPr>
        <w:pStyle w:val="ad"/>
        <w:numPr>
          <w:ilvl w:val="0"/>
          <w:numId w:val="3"/>
        </w:numPr>
        <w:spacing w:line="360" w:lineRule="auto"/>
        <w:jc w:val="both"/>
        <w:rPr>
          <w:noProof w:val="0"/>
        </w:rPr>
      </w:pPr>
      <w:r>
        <w:rPr>
          <w:noProof w:val="0"/>
          <w:rtl/>
        </w:rPr>
        <w:t xml:space="preserve">צבר העדויות והראיות מעיד על השילוב של תלותו של האב בנתבעים, מגוריו עימם, טיפולם בכל ענייניו, היותו חסר עצמאות בנושאים מהותיים אל מול תלותו בנתבעים וטיפולם בנושאים שונים ומהותיים עבורו. אל מול זאת ניצבת מערכת יחסים מורכבת, קשה וקונפליקטואלית של האב עם התובעים ובקשר ישיר לנושא העברת המגרשים. שילוב של כלל הגורמים הללו הוביל לביצוע ההעברה תוך עידוד אקטיבי ויוזמה של הנתבעים כי על האב לבצע זאת. שוכנעתי כי לולא אותה השפעה של הנתבעים על האב המנוח לא הייתה מבוצעת ההעברה. לכך יש להוסיף כי בעת ביצוע ההעברה דירת המגורים הייתה הנכס היחידי המשמעותי של האב המנוח וזו גם הייתה דירת מגוריו בה התגורר עם הנתבעים. דבר זה מוסיף לשליטת הנתבעים באב כך שהותיר את עצמו למעשה חסר כל לאחר השלמת ביצועה, ותלותו בנתבעים עוד גברה. </w:t>
      </w:r>
    </w:p>
    <w:p w:rsidR="003B6B3C" w:rsidRDefault="003B6B3C" w:rsidP="003B6B3C">
      <w:pPr>
        <w:pStyle w:val="ad"/>
        <w:rPr>
          <w:b/>
          <w:bCs/>
          <w:noProof w:val="0"/>
        </w:rPr>
      </w:pPr>
    </w:p>
    <w:p w:rsidR="003B6B3C" w:rsidRDefault="002B4F33" w:rsidP="003B6B3C">
      <w:pPr>
        <w:pStyle w:val="ad"/>
        <w:numPr>
          <w:ilvl w:val="0"/>
          <w:numId w:val="3"/>
        </w:numPr>
        <w:spacing w:line="360" w:lineRule="auto"/>
        <w:jc w:val="both"/>
        <w:rPr>
          <w:noProof w:val="0"/>
          <w:rtl/>
        </w:rPr>
      </w:pPr>
      <w:r>
        <w:rPr>
          <w:noProof w:val="0"/>
          <w:rtl/>
        </w:rPr>
        <w:lastRenderedPageBreak/>
        <w:t xml:space="preserve">לולא התלות של האב בנתבעים, אמונו המלא בהם, המגורים המשותפים בדירת המגורים, טיפולם של הנתבעים באב עד כדי תלות מוחלטת שלו בהם, חולשתו של האב המתבטאת במצב המשפחתי הקשה והעובדה שלא ידע קרוא וכתוב (דבר שהגביר את התלות בנתבעים). ביצוע ההעברה הותיר את האב חסר כל ויצר עוד יותר תלות בנתבעים. לנתבעים הייתה הגם "השפעה" על האב וגם את היסוד של "העדר ההוגנות" של העברת הנכס היחידי שנותר בידיו. </w:t>
      </w:r>
    </w:p>
    <w:p w:rsidR="003B6B3C" w:rsidRDefault="003B6B3C" w:rsidP="003B6B3C">
      <w:pPr>
        <w:pStyle w:val="ad"/>
        <w:rPr>
          <w:noProof w:val="0"/>
        </w:rPr>
      </w:pPr>
    </w:p>
    <w:p w:rsidR="003B6B3C" w:rsidRDefault="002B4F33" w:rsidP="003B6B3C">
      <w:pPr>
        <w:pStyle w:val="ad"/>
        <w:numPr>
          <w:ilvl w:val="0"/>
          <w:numId w:val="3"/>
        </w:numPr>
        <w:spacing w:line="360" w:lineRule="auto"/>
        <w:jc w:val="both"/>
        <w:rPr>
          <w:noProof w:val="0"/>
          <w:rtl/>
        </w:rPr>
      </w:pPr>
      <w:r>
        <w:rPr>
          <w:noProof w:val="0"/>
          <w:rtl/>
        </w:rPr>
        <w:t xml:space="preserve">גם אם אקבל את כל טענותיה של הנתבעת לגבי התנהלות התובעים שהרעו לשיטתה לאב, אין הדבר מאיין את העובדה כי לא היה מקום להשפיע ולהפעיל לחצים על האב ולהותירו חסר כל. הנתבעת לא שכנעה מדוע דרך ההתמודדות עם טענת חוסר הוגנות ואף רמיה לשיטתה של התובעים 1-2 את האב הינה ב"תגמול" של העברת דירת המגורים היחידה והנכס הכלכלי היחידי שנותר לאב. </w:t>
      </w:r>
    </w:p>
    <w:p w:rsidR="003B6B3C" w:rsidRDefault="003B6B3C" w:rsidP="003B6B3C">
      <w:pPr>
        <w:pStyle w:val="ad"/>
        <w:rPr>
          <w:noProof w:val="0"/>
        </w:rPr>
      </w:pPr>
    </w:p>
    <w:p w:rsidR="003B6B3C" w:rsidRDefault="002B4F33" w:rsidP="003B6B3C">
      <w:pPr>
        <w:pStyle w:val="ad"/>
        <w:numPr>
          <w:ilvl w:val="0"/>
          <w:numId w:val="3"/>
        </w:numPr>
        <w:spacing w:line="360" w:lineRule="auto"/>
        <w:jc w:val="both"/>
        <w:rPr>
          <w:noProof w:val="0"/>
          <w:rtl/>
        </w:rPr>
      </w:pPr>
      <w:r>
        <w:rPr>
          <w:noProof w:val="0"/>
          <w:rtl/>
        </w:rPr>
        <w:t xml:space="preserve">הנתבעת לא נתנה הסבר משכנע לשינוי מצבו הכלכלי לרעה של האב באופן כה מפליג ומה ההצדקה לכך. מלבד הטענה החוזרת ונשנית כי זה היה רצונו של האב ואל מול התנהלות התובעים, אני סבורה כי נדרש היה הסבר משכנע יותר. לכך יש להוסיף כי לא נעשתה כל פעולה משפטית להבטחת מגוריו של האב עד אחרית ימיו בדירת המגורים, לא הוסדר מצבו הכלכלי לו יידרש לצאת מהדירה או לממן הוצאה ניכרת לצרכי בריאות. </w:t>
      </w:r>
    </w:p>
    <w:p w:rsidR="003B6B3C" w:rsidRDefault="003B6B3C" w:rsidP="003B6B3C">
      <w:pPr>
        <w:pStyle w:val="ad"/>
        <w:rPr>
          <w:noProof w:val="0"/>
        </w:rPr>
      </w:pPr>
    </w:p>
    <w:p w:rsidR="003B6B3C" w:rsidRDefault="002B4F33" w:rsidP="003B6B3C">
      <w:pPr>
        <w:pStyle w:val="ad"/>
        <w:numPr>
          <w:ilvl w:val="0"/>
          <w:numId w:val="3"/>
        </w:numPr>
        <w:spacing w:line="360" w:lineRule="auto"/>
        <w:jc w:val="both"/>
        <w:rPr>
          <w:rtl/>
        </w:rPr>
      </w:pPr>
      <w:r>
        <w:rPr>
          <w:noProof w:val="0"/>
          <w:rtl/>
        </w:rPr>
        <w:t>לטענת</w:t>
      </w:r>
      <w:r>
        <w:rPr>
          <w:rtl/>
        </w:rPr>
        <w:t xml:space="preserve"> התובעים, הנתבעת שימשה כאפוט' למעשה ועל כן לאור אופי העסקה יש להחיל עליה כללים מחמירים של עשיית עסקה בין אפוט' לבין האדם שהוא אפוט' שלו. </w:t>
      </w:r>
    </w:p>
    <w:p w:rsidR="003B6B3C" w:rsidRDefault="003B6B3C" w:rsidP="003B6B3C">
      <w:pPr>
        <w:pStyle w:val="ad"/>
      </w:pPr>
    </w:p>
    <w:p w:rsidR="003B6B3C" w:rsidRDefault="002B4F33" w:rsidP="003B6B3C">
      <w:pPr>
        <w:pStyle w:val="ad"/>
        <w:numPr>
          <w:ilvl w:val="0"/>
          <w:numId w:val="3"/>
        </w:numPr>
        <w:spacing w:line="360" w:lineRule="auto"/>
        <w:jc w:val="both"/>
        <w:rPr>
          <w:rtl/>
        </w:rPr>
      </w:pPr>
      <w:r>
        <w:rPr>
          <w:rtl/>
        </w:rPr>
        <w:t>אין מחלוקת כי האב התגורר עם הנתבעת מעת שהאם נפטרה בשנת 2007.</w:t>
      </w:r>
      <w:r>
        <w:rPr>
          <w:b/>
          <w:bCs/>
          <w:rtl/>
        </w:rPr>
        <w:t xml:space="preserve"> </w:t>
      </w:r>
      <w:r>
        <w:rPr>
          <w:rtl/>
        </w:rPr>
        <w:t>אין מחלוקת כי הנתבעים טיפלו באב. גם הנתבעת בתיק האפוט' הציגה מצג לעו"ס כי היא משמשת בפועל כאפוט' של האב ודואגת לכל מחסורו.</w:t>
      </w:r>
    </w:p>
    <w:p w:rsidR="003B6B3C" w:rsidRDefault="002B4F33" w:rsidP="003B6B3C">
      <w:pPr>
        <w:pStyle w:val="ad"/>
        <w:spacing w:line="360" w:lineRule="auto"/>
        <w:ind w:left="567"/>
        <w:jc w:val="both"/>
      </w:pPr>
      <w:r>
        <w:rPr>
          <w:rtl/>
        </w:rPr>
        <w:t xml:space="preserve">אולם ההעברה הייתה בחודש 2/2015. הבקשה לאפוט' על ידי התובע 1 הוגשה בחודש 12/2018. על מנת לעמוד בתנאים הבסיסיים של אפוט' למעשה לא די בטיפול של הנתבעת ויש להוכיח את רכיב "האפוטרופוס" ביחס לתקופה הרלוונטית. בכך לא עמדו התובעים. </w:t>
      </w:r>
    </w:p>
    <w:p w:rsidR="003B6B3C" w:rsidRDefault="003B6B3C" w:rsidP="003B6B3C">
      <w:pPr>
        <w:pStyle w:val="ad"/>
        <w:spacing w:line="360" w:lineRule="auto"/>
        <w:ind w:left="567"/>
        <w:jc w:val="both"/>
        <w:rPr>
          <w:rFonts w:ascii="Arial" w:hAnsi="Arial"/>
          <w:b/>
          <w:bCs/>
          <w:noProof w:val="0"/>
        </w:rPr>
      </w:pPr>
    </w:p>
    <w:p w:rsidR="003B6B3C" w:rsidRDefault="002B4F33" w:rsidP="003B6B3C">
      <w:pPr>
        <w:pStyle w:val="ad"/>
        <w:numPr>
          <w:ilvl w:val="0"/>
          <w:numId w:val="3"/>
        </w:numPr>
        <w:spacing w:line="360" w:lineRule="auto"/>
        <w:jc w:val="both"/>
        <w:rPr>
          <w:rFonts w:ascii="Arial" w:hAnsi="Arial"/>
          <w:b/>
          <w:bCs/>
          <w:noProof w:val="0"/>
        </w:rPr>
      </w:pPr>
      <w:r>
        <w:rPr>
          <w:rFonts w:ascii="Arial" w:hAnsi="Arial"/>
          <w:noProof w:val="0"/>
          <w:rtl/>
        </w:rPr>
        <w:t>סעיף 67 לחוק הכשרות המשפטית והאפוטרופסות, תשכ"ב -1962 קובע: "</w:t>
      </w:r>
      <w:r>
        <w:rPr>
          <w:rFonts w:ascii="Arial" w:hAnsi="Arial"/>
          <w:b/>
          <w:bCs/>
          <w:noProof w:val="0"/>
          <w:rtl/>
        </w:rPr>
        <w:t>מי שפועל כאפוטרופוס, חובותיו ואחריותו כלפי אדם שמונה לו אפוטרופוס או שבית המשפט היה רשאי למנות לו אפוטרופוס יהיו לפי הוראות פרק זה, אף אם לא נתמנה כלל או שהיה פגם במינויו או שהתפטר או פוטר או שפקעה אפוטרופסותו.</w:t>
      </w:r>
      <w:r>
        <w:rPr>
          <w:rFonts w:ascii="Arial" w:hAnsi="Arial"/>
          <w:noProof w:val="0"/>
          <w:rtl/>
        </w:rPr>
        <w:t>"</w:t>
      </w:r>
      <w:r>
        <w:rPr>
          <w:rFonts w:ascii="Arial" w:hAnsi="Arial"/>
          <w:b/>
          <w:bCs/>
          <w:noProof w:val="0"/>
          <w:rtl/>
        </w:rPr>
        <w:t xml:space="preserve"> </w:t>
      </w:r>
      <w:r>
        <w:rPr>
          <w:rFonts w:ascii="Arial" w:hAnsi="Arial"/>
          <w:noProof w:val="0"/>
          <w:rtl/>
        </w:rPr>
        <w:t>לכך מתווסף סעיף 48 לחוק הקובע</w:t>
      </w:r>
      <w:r>
        <w:rPr>
          <w:rFonts w:ascii="Arial" w:hAnsi="Arial"/>
          <w:b/>
          <w:bCs/>
          <w:noProof w:val="0"/>
          <w:rtl/>
        </w:rPr>
        <w:t xml:space="preserve"> </w:t>
      </w:r>
      <w:r>
        <w:rPr>
          <w:rFonts w:ascii="Arial" w:hAnsi="Arial"/>
          <w:noProof w:val="0"/>
          <w:rtl/>
        </w:rPr>
        <w:t>כי: "</w:t>
      </w:r>
      <w:r>
        <w:rPr>
          <w:rFonts w:ascii="Arial" w:hAnsi="Arial"/>
          <w:b/>
          <w:bCs/>
          <w:noProof w:val="0"/>
          <w:rtl/>
        </w:rPr>
        <w:t>בפעולה משפטית בין האדם לבין האפוטרופוס שמונה לו או קרוביו של האפוטרופוס, זולת מתנות הניתנות לאותו אדם, ובפעולה משפטית בין שניים שמונה להם אותו אפוטרופוס, אין האפוטרופוס מוסמך לייצג אדם שהוא מונה כאפוטרופסו</w:t>
      </w:r>
      <w:r>
        <w:rPr>
          <w:rFonts w:ascii="Arial" w:hAnsi="Arial"/>
          <w:noProof w:val="0"/>
          <w:rtl/>
        </w:rPr>
        <w:t>". סעיף 47(א)(1) לחוק הכשרות קובע כי על בית המשפט לאשר מראש פעולה של עסקה במקרקעין של אדם שמונה לו אפוטרופוס.</w:t>
      </w:r>
    </w:p>
    <w:p w:rsidR="003B6B3C" w:rsidRDefault="002B4F33" w:rsidP="003B6B3C">
      <w:pPr>
        <w:pStyle w:val="ad"/>
        <w:numPr>
          <w:ilvl w:val="0"/>
          <w:numId w:val="3"/>
        </w:numPr>
        <w:spacing w:line="360" w:lineRule="auto"/>
        <w:jc w:val="both"/>
        <w:rPr>
          <w:rFonts w:ascii="Arial" w:hAnsi="Arial"/>
          <w:noProof w:val="0"/>
          <w:u w:val="single"/>
        </w:rPr>
      </w:pPr>
      <w:r>
        <w:rPr>
          <w:rFonts w:ascii="Arial" w:hAnsi="Arial"/>
          <w:noProof w:val="0"/>
          <w:rtl/>
        </w:rPr>
        <w:lastRenderedPageBreak/>
        <w:t>התובעים לא הוכיחו שבאותה העת האב היה  זקוק לאפוטרופוס. עם זאת, בנסיבות ההעברה גם אם האב לא היה זקוק לאפוטרופוס, נוצרה תלות, השפעה של הנתבעים והעדר עצמאות משמעותי של האב. עניין זה יש לקחת בחשבון כנסיבה מהותית התומכת בביטול ההעברה.</w:t>
      </w:r>
    </w:p>
    <w:p w:rsidR="003B6B3C" w:rsidRDefault="003B6B3C" w:rsidP="003B6B3C">
      <w:pPr>
        <w:pStyle w:val="ad"/>
        <w:rPr>
          <w:rFonts w:ascii="Arial" w:hAnsi="Arial"/>
          <w:noProof w:val="0"/>
          <w:u w:val="single"/>
        </w:rPr>
      </w:pPr>
    </w:p>
    <w:p w:rsidR="003B6B3C" w:rsidRDefault="002B4F33" w:rsidP="003B6B3C">
      <w:pPr>
        <w:pStyle w:val="ad"/>
        <w:numPr>
          <w:ilvl w:val="0"/>
          <w:numId w:val="3"/>
        </w:numPr>
        <w:spacing w:line="360" w:lineRule="auto"/>
        <w:jc w:val="both"/>
        <w:rPr>
          <w:rFonts w:ascii="Arial" w:hAnsi="Arial"/>
          <w:noProof w:val="0"/>
          <w:rtl/>
        </w:rPr>
      </w:pPr>
      <w:r>
        <w:rPr>
          <w:rFonts w:ascii="Arial" w:hAnsi="Arial"/>
          <w:noProof w:val="0"/>
          <w:rtl/>
        </w:rPr>
        <w:t>הפסיקה הכירה במצב בו לא מונה לאדם אפוטרופוס אך בשל מצבו ניתן לבטל עיסקאות בהן התקשר ובפרט גם הסכמי מתנה במקרקעין:</w:t>
      </w:r>
    </w:p>
    <w:p w:rsidR="003B6B3C" w:rsidRDefault="002B4F33" w:rsidP="003B6B3C">
      <w:pPr>
        <w:spacing w:line="360" w:lineRule="auto"/>
        <w:ind w:left="1134" w:right="1134"/>
        <w:contextualSpacing/>
        <w:jc w:val="both"/>
        <w:rPr>
          <w:rFonts w:asciiTheme="minorHAnsi" w:hAnsiTheme="minorHAnsi"/>
          <w:b/>
          <w:bCs/>
          <w:noProof w:val="0"/>
        </w:rPr>
      </w:pPr>
      <w:r>
        <w:rPr>
          <w:rFonts w:asciiTheme="minorHAnsi" w:hAnsiTheme="minorHAnsi"/>
          <w:b/>
          <w:bCs/>
          <w:noProof w:val="0"/>
          <w:rtl/>
        </w:rPr>
        <w:t xml:space="preserve">"[...] </w:t>
      </w:r>
      <w:r>
        <w:rPr>
          <w:rFonts w:asciiTheme="minorHAnsi" w:hAnsiTheme="minorHAnsi"/>
          <w:b/>
          <w:bCs/>
          <w:noProof w:val="0"/>
          <w:u w:val="single"/>
          <w:rtl/>
        </w:rPr>
        <w:t>בהסכמי מתנה, הבדיקה אם היתה גמירות דעת היא קפדנית יותר, וזאת בייחוד כשמדובר במתנה במקרקעין</w:t>
      </w:r>
      <w:r>
        <w:rPr>
          <w:rFonts w:asciiTheme="minorHAnsi" w:hAnsiTheme="minorHAnsi"/>
          <w:b/>
          <w:bCs/>
          <w:noProof w:val="0"/>
          <w:rtl/>
        </w:rPr>
        <w:t xml:space="preserve"> (ע"א 7051/93 האפוטרופוס הכללי נ' גולדברג (לא פורסם) [פורסם בנבו]). בע"א 236/84 מנהל עזבון המנוחה הלה יפה ז"ל נ' שוורץ, פ"ד מה(5) 13 (להלן- "ע"א 236/84"), נכתב: [..]"...</w:t>
      </w:r>
      <w:r>
        <w:rPr>
          <w:rFonts w:asciiTheme="minorHAnsi" w:hAnsiTheme="minorHAnsi"/>
          <w:b/>
          <w:bCs/>
          <w:noProof w:val="0"/>
          <w:u w:val="single"/>
          <w:rtl/>
        </w:rPr>
        <w:t>יש להתייחס למאפיין הרלוואנטי של הנספח, לאמור – העובדה שהוא מגלם הענקה חד צדדית של טובת הנאה. לכך יש חשיבות רבה, שכן בהענקה ממין זה, כמו בהענקה דומה בחוזה מתנה, '... יש משנה חשיבות לגמירת דעתו של נותן המתנה... יש לוודא מעל ומעבר ולכל ספק כי נותן המתנה אכן התכוון לתת מתנה וכי אין ליקוי רצון הפוגע בגמירת דעתו של הנותן'</w:t>
      </w:r>
      <w:r>
        <w:rPr>
          <w:rFonts w:asciiTheme="minorHAnsi" w:hAnsiTheme="minorHAnsi"/>
          <w:b/>
          <w:bCs/>
          <w:noProof w:val="0"/>
          <w:rtl/>
        </w:rPr>
        <w:t xml:space="preserve"> (א' ראבילו, "חוק המתנה, תשכ"ח-1968' פירוש לחוקי החוזים (המכון למחקרי חקיקה ולמשפט השוואתי ע"ש הרי סאקר, ג' טדסקי עורך, תשל"ט) 21)". </w:t>
      </w:r>
      <w:r>
        <w:rPr>
          <w:rFonts w:asciiTheme="minorHAnsi" w:hAnsiTheme="minorHAnsi"/>
          <w:b/>
          <w:bCs/>
          <w:noProof w:val="0"/>
          <w:rtl/>
        </w:rPr>
        <w:tab/>
      </w:r>
    </w:p>
    <w:p w:rsidR="003B6B3C" w:rsidRDefault="002B4F33" w:rsidP="003B6B3C">
      <w:pPr>
        <w:spacing w:line="360" w:lineRule="auto"/>
        <w:ind w:left="567"/>
        <w:contextualSpacing/>
        <w:jc w:val="both"/>
        <w:rPr>
          <w:noProof w:val="0"/>
          <w:rtl/>
        </w:rPr>
      </w:pPr>
      <w:r>
        <w:rPr>
          <w:noProof w:val="0"/>
          <w:rtl/>
        </w:rPr>
        <w:t xml:space="preserve">ראו: ה"פ 8268-03-09 </w:t>
      </w:r>
      <w:r>
        <w:rPr>
          <w:rFonts w:cs="Miriam"/>
          <w:noProof w:val="0"/>
          <w:rtl/>
        </w:rPr>
        <w:t>יי א' – חסויה נ' וקנין ואח'</w:t>
      </w:r>
      <w:r>
        <w:rPr>
          <w:noProof w:val="0"/>
          <w:rtl/>
        </w:rPr>
        <w:t xml:space="preserve"> סעיף 58 לפסק דינה של כב' השופטת שטמר (9.9.2011).</w:t>
      </w:r>
    </w:p>
    <w:p w:rsidR="003B6B3C" w:rsidRDefault="003B6B3C" w:rsidP="003B6B3C">
      <w:pPr>
        <w:spacing w:line="360" w:lineRule="auto"/>
        <w:ind w:left="567"/>
        <w:contextualSpacing/>
        <w:jc w:val="both"/>
        <w:rPr>
          <w:noProof w:val="0"/>
          <w:rtl/>
        </w:rPr>
      </w:pPr>
    </w:p>
    <w:p w:rsidR="003B6B3C" w:rsidRDefault="002B4F33" w:rsidP="003B6B3C">
      <w:pPr>
        <w:pStyle w:val="ad"/>
        <w:numPr>
          <w:ilvl w:val="0"/>
          <w:numId w:val="3"/>
        </w:numPr>
        <w:spacing w:line="360" w:lineRule="auto"/>
        <w:jc w:val="both"/>
        <w:rPr>
          <w:noProof w:val="0"/>
          <w:rtl/>
        </w:rPr>
      </w:pPr>
      <w:r>
        <w:rPr>
          <w:noProof w:val="0"/>
          <w:rtl/>
        </w:rPr>
        <w:t>במצב חולשתו של האב בצירוף תלותו בנתבעת ובצירוף מערכת היחסים העכורה עם התובעים ובצירוף ההעברה של דירת המגורים היחידה שלו (להבדיל מנכס אחר או מאדם שיש לו נכסים רבים אחרים) – הרי שיש לוודא כי הוא אכן פעל באופן חופשי ולא כתוצאה מהשפעת הנתבעת.</w:t>
      </w:r>
    </w:p>
    <w:p w:rsidR="003B6B3C" w:rsidRDefault="003B6B3C" w:rsidP="003B6B3C">
      <w:pPr>
        <w:pStyle w:val="ad"/>
        <w:spacing w:line="360" w:lineRule="auto"/>
        <w:ind w:left="567"/>
        <w:jc w:val="both"/>
        <w:rPr>
          <w:noProof w:val="0"/>
        </w:rPr>
      </w:pPr>
    </w:p>
    <w:p w:rsidR="003B6B3C" w:rsidRDefault="002B4F33" w:rsidP="003B6B3C">
      <w:pPr>
        <w:pStyle w:val="ad"/>
        <w:numPr>
          <w:ilvl w:val="0"/>
          <w:numId w:val="3"/>
        </w:numPr>
        <w:spacing w:line="360" w:lineRule="auto"/>
        <w:jc w:val="both"/>
        <w:rPr>
          <w:noProof w:val="0"/>
        </w:rPr>
      </w:pPr>
      <w:r>
        <w:rPr>
          <w:noProof w:val="0"/>
          <w:rtl/>
        </w:rPr>
        <w:t xml:space="preserve">בתמונה הכללית שהתבררה לא שוכנעתי כי ההעברה נקיה מספקות. נהפוך הוא – הנתבעת עצמה הצדיקה את הנסיבות מתוך מטרה להשיב לתובעים על מעשיהם ולדאוג לעתיד לבוא לאחר 120 של האב. זה אינו נימוק ההופך את ההעברה להעברה עצמאית, מודעת ומרצון חופשי של האב. </w:t>
      </w:r>
    </w:p>
    <w:p w:rsidR="003B6B3C" w:rsidRDefault="003B6B3C" w:rsidP="003B6B3C">
      <w:pPr>
        <w:pStyle w:val="ad"/>
        <w:rPr>
          <w:noProof w:val="0"/>
        </w:rPr>
      </w:pPr>
    </w:p>
    <w:p w:rsidR="003B6B3C" w:rsidRDefault="002B4F33" w:rsidP="003B6B3C">
      <w:pPr>
        <w:pStyle w:val="ad"/>
        <w:numPr>
          <w:ilvl w:val="0"/>
          <w:numId w:val="3"/>
        </w:numPr>
        <w:spacing w:line="360" w:lineRule="auto"/>
        <w:jc w:val="both"/>
        <w:rPr>
          <w:noProof w:val="0"/>
          <w:rtl/>
        </w:rPr>
      </w:pPr>
      <w:r>
        <w:rPr>
          <w:b/>
          <w:bCs/>
          <w:noProof w:val="0"/>
          <w:rtl/>
        </w:rPr>
        <w:t>התובע 2</w:t>
      </w:r>
      <w:r>
        <w:rPr>
          <w:noProof w:val="0"/>
          <w:rtl/>
        </w:rPr>
        <w:t xml:space="preserve"> נחקר לגבי טענת התובעים כי האב היה נתון להשפעה בלתי הוגנת ואיומים מצד הנתבעים ובכ"ז לא פעלו במשך שנים ארוכות על מנת לדאוג לאב בעניין זה, והשיב כי היה מדובר בתהליך של ניתוק במשפחה ולא באירוע מסויים אחד (ראו: פרוט' מיום 22.5.22, עמ' 12 שורות 3-9, שורות 27-28). את השיהוי בהגשת התביעה הסביר בכבוד שרכש לאב ושחיכה שהאב ילך לבית עולמו על מנת שלא לצערו, וכעת הוא חפץ שהצדק ייצא לאור (עמ' 16 שורות 1-4). התובע 2 תיאר באריכות בחקירתו מדוע הוא סבור כי מערכת היחסים התערערה וכי אביו </w:t>
      </w:r>
      <w:r>
        <w:rPr>
          <w:noProof w:val="0"/>
          <w:rtl/>
        </w:rPr>
        <w:lastRenderedPageBreak/>
        <w:t>אהב את בניו ולא היה פועל כך על דעת עצמו. הוא טען כי האב היה: "שפוט" של הנתבעים (עמ' 16 שורות 20-33).</w:t>
      </w:r>
    </w:p>
    <w:p w:rsidR="003B6B3C" w:rsidRDefault="003B6B3C" w:rsidP="003B6B3C">
      <w:pPr>
        <w:pStyle w:val="ad"/>
        <w:rPr>
          <w:noProof w:val="0"/>
        </w:rPr>
      </w:pPr>
    </w:p>
    <w:p w:rsidR="003B6B3C" w:rsidRDefault="002B4F33" w:rsidP="003B6B3C">
      <w:pPr>
        <w:pStyle w:val="ad"/>
        <w:numPr>
          <w:ilvl w:val="0"/>
          <w:numId w:val="3"/>
        </w:numPr>
        <w:spacing w:line="360" w:lineRule="auto"/>
        <w:jc w:val="both"/>
        <w:rPr>
          <w:noProof w:val="0"/>
          <w:rtl/>
        </w:rPr>
      </w:pPr>
      <w:r>
        <w:rPr>
          <w:b/>
          <w:bCs/>
          <w:noProof w:val="0"/>
          <w:rtl/>
        </w:rPr>
        <w:t>התובע 2</w:t>
      </w:r>
      <w:r>
        <w:rPr>
          <w:noProof w:val="0"/>
          <w:rtl/>
        </w:rPr>
        <w:t xml:space="preserve"> לא נחקר כלל לגבי ההעברה של דירת המגורים לנתבעת. </w:t>
      </w:r>
    </w:p>
    <w:p w:rsidR="003B6B3C" w:rsidRDefault="003B6B3C" w:rsidP="003B6B3C">
      <w:pPr>
        <w:pStyle w:val="ad"/>
        <w:rPr>
          <w:noProof w:val="0"/>
        </w:rPr>
      </w:pPr>
    </w:p>
    <w:p w:rsidR="003B6B3C" w:rsidRDefault="002B4F33" w:rsidP="003B6B3C">
      <w:pPr>
        <w:pStyle w:val="ad"/>
        <w:numPr>
          <w:ilvl w:val="0"/>
          <w:numId w:val="3"/>
        </w:numPr>
        <w:spacing w:line="360" w:lineRule="auto"/>
        <w:jc w:val="both"/>
        <w:rPr>
          <w:noProof w:val="0"/>
          <w:rtl/>
        </w:rPr>
      </w:pPr>
      <w:r>
        <w:rPr>
          <w:b/>
          <w:bCs/>
          <w:noProof w:val="0"/>
          <w:rtl/>
        </w:rPr>
        <w:t xml:space="preserve">התובע 3 </w:t>
      </w:r>
      <w:r>
        <w:rPr>
          <w:noProof w:val="0"/>
          <w:rtl/>
        </w:rPr>
        <w:t>נחקר</w:t>
      </w:r>
      <w:r>
        <w:rPr>
          <w:b/>
          <w:bCs/>
          <w:noProof w:val="0"/>
          <w:rtl/>
        </w:rPr>
        <w:t xml:space="preserve"> </w:t>
      </w:r>
      <w:r>
        <w:rPr>
          <w:noProof w:val="0"/>
          <w:rtl/>
        </w:rPr>
        <w:t>לגבי הטענה להשפעה בלתי הוגנת וגם הוא תיאר את הדרדרות מערכת היחסים, ומדוע הוא סבור כי הדבר נעשה בעטייה של הנתבעת:</w:t>
      </w:r>
    </w:p>
    <w:p w:rsidR="003B6B3C" w:rsidRPr="007B3955" w:rsidRDefault="002B4F33" w:rsidP="0056665F">
      <w:pPr>
        <w:pStyle w:val="ad"/>
        <w:spacing w:line="360" w:lineRule="auto"/>
        <w:ind w:left="567"/>
        <w:jc w:val="both"/>
        <w:rPr>
          <w:b/>
          <w:bCs/>
          <w:noProof w:val="0"/>
        </w:rPr>
      </w:pPr>
      <w:r>
        <w:rPr>
          <w:noProof w:val="0"/>
          <w:rtl/>
        </w:rPr>
        <w:t>"</w:t>
      </w:r>
      <w:r>
        <w:rPr>
          <w:b/>
          <w:bCs/>
          <w:noProof w:val="0"/>
          <w:rtl/>
        </w:rPr>
        <w:t>אני חושב שזה התגלה או מ-2014, וזה הכול</w:t>
      </w:r>
      <w:bookmarkStart w:id="1" w:name="_ETM_Q_689431"/>
      <w:bookmarkEnd w:id="1"/>
      <w:r>
        <w:rPr>
          <w:b/>
          <w:bCs/>
          <w:noProof w:val="0"/>
          <w:rtl/>
        </w:rPr>
        <w:t xml:space="preserve"> בידיעתה, שאבא העביר אדמות לאחי. משנת 2014, שעברו אליו,</w:t>
      </w:r>
      <w:bookmarkStart w:id="2" w:name="_ETM_Q_694643"/>
      <w:bookmarkEnd w:id="2"/>
      <w:r>
        <w:rPr>
          <w:b/>
          <w:bCs/>
          <w:noProof w:val="0"/>
          <w:rtl/>
        </w:rPr>
        <w:t xml:space="preserve"> אצל אחי</w:t>
      </w:r>
      <w:r w:rsidR="00D33C2B">
        <w:rPr>
          <w:rFonts w:hint="cs"/>
          <w:b/>
          <w:bCs/>
          <w:noProof w:val="0"/>
          <w:rtl/>
        </w:rPr>
        <w:t xml:space="preserve"> ***</w:t>
      </w:r>
      <w:r w:rsidR="0056665F">
        <w:rPr>
          <w:rFonts w:hint="cs"/>
          <w:b/>
          <w:bCs/>
          <w:noProof w:val="0"/>
          <w:rtl/>
        </w:rPr>
        <w:t xml:space="preserve">(התובע 2) </w:t>
      </w:r>
      <w:r w:rsidRPr="007B3955">
        <w:rPr>
          <w:b/>
          <w:bCs/>
          <w:noProof w:val="0"/>
          <w:rtl/>
        </w:rPr>
        <w:t>, שאני מודע והיא מודעת, היא</w:t>
      </w:r>
      <w:bookmarkStart w:id="3" w:name="_ETM_Q_702479"/>
      <w:bookmarkEnd w:id="3"/>
      <w:r w:rsidRPr="007B3955">
        <w:rPr>
          <w:b/>
          <w:bCs/>
          <w:noProof w:val="0"/>
          <w:rtl/>
        </w:rPr>
        <w:t xml:space="preserve"> שלחה אותו. בלי שהיא תשלח אותו לא היה קורה הדבר</w:t>
      </w:r>
      <w:bookmarkStart w:id="4" w:name="_ETM_Q_708221"/>
      <w:bookmarkEnd w:id="4"/>
      <w:r w:rsidRPr="007B3955">
        <w:rPr>
          <w:b/>
          <w:bCs/>
          <w:noProof w:val="0"/>
          <w:rtl/>
        </w:rPr>
        <w:t xml:space="preserve"> הזה. עכשיו, מי אז זה התגבר ונהיה יותר</w:t>
      </w:r>
      <w:bookmarkStart w:id="5" w:name="_ETM_Q_710037"/>
      <w:bookmarkEnd w:id="5"/>
      <w:r w:rsidRPr="007B3955">
        <w:rPr>
          <w:b/>
          <w:bCs/>
          <w:noProof w:val="0"/>
          <w:rtl/>
        </w:rPr>
        <w:t xml:space="preserve"> רעל החדירה לאבא שלי. עוד רעל ועוד רעל. היחסים בינינו </w:t>
      </w:r>
      <w:bookmarkStart w:id="6" w:name="_ETM_Q_716831"/>
      <w:bookmarkEnd w:id="6"/>
      <w:r w:rsidRPr="007B3955">
        <w:rPr>
          <w:b/>
          <w:bCs/>
          <w:noProof w:val="0"/>
          <w:rtl/>
        </w:rPr>
        <w:t>היו מאוד טובים, מצוינים. אני היא וגיסי היו בשבילי כמו</w:t>
      </w:r>
      <w:bookmarkStart w:id="7" w:name="_ETM_Q_721773"/>
      <w:bookmarkEnd w:id="7"/>
      <w:r w:rsidRPr="007B3955">
        <w:rPr>
          <w:b/>
          <w:bCs/>
          <w:noProof w:val="0"/>
          <w:rtl/>
        </w:rPr>
        <w:t xml:space="preserve"> אחים שלי. הילדים שלנו, כמו הבנים שלי. אבי</w:t>
      </w:r>
      <w:bookmarkStart w:id="8" w:name="_ETM_Q_725938"/>
      <w:bookmarkEnd w:id="8"/>
      <w:r w:rsidRPr="007B3955">
        <w:rPr>
          <w:b/>
          <w:bCs/>
          <w:noProof w:val="0"/>
          <w:rtl/>
        </w:rPr>
        <w:t xml:space="preserve"> היא גרמה להרחיק את אבא שלי מכולם. הרעיבה אותו אפילו</w:t>
      </w:r>
      <w:bookmarkStart w:id="9" w:name="_ETM_Q_732453"/>
      <w:bookmarkEnd w:id="9"/>
      <w:r w:rsidRPr="007B3955">
        <w:rPr>
          <w:b/>
          <w:bCs/>
          <w:noProof w:val="0"/>
          <w:rtl/>
        </w:rPr>
        <w:t xml:space="preserve"> עליי[..]</w:t>
      </w:r>
      <w:r>
        <w:rPr>
          <w:noProof w:val="0"/>
          <w:rtl/>
        </w:rPr>
        <w:t>".</w:t>
      </w:r>
    </w:p>
    <w:p w:rsidR="003B6B3C" w:rsidRDefault="002B4F33" w:rsidP="003B6B3C">
      <w:pPr>
        <w:pStyle w:val="ad"/>
        <w:spacing w:line="360" w:lineRule="auto"/>
        <w:ind w:left="567"/>
        <w:jc w:val="both"/>
        <w:rPr>
          <w:noProof w:val="0"/>
          <w:rtl/>
        </w:rPr>
      </w:pPr>
      <w:r>
        <w:rPr>
          <w:noProof w:val="0"/>
          <w:rtl/>
        </w:rPr>
        <w:t>(ראו: פרוט' מיום 22.5.22, עמ' 22 שורות 9-20).</w:t>
      </w:r>
    </w:p>
    <w:p w:rsidR="003B6B3C" w:rsidRDefault="003B6B3C" w:rsidP="003B6B3C">
      <w:pPr>
        <w:pStyle w:val="ad"/>
        <w:spacing w:line="360" w:lineRule="auto"/>
        <w:ind w:left="567"/>
        <w:jc w:val="both"/>
        <w:rPr>
          <w:noProof w:val="0"/>
          <w:rtl/>
        </w:rPr>
      </w:pPr>
    </w:p>
    <w:p w:rsidR="003B6B3C" w:rsidRDefault="002B4F33" w:rsidP="003B6B3C">
      <w:pPr>
        <w:pStyle w:val="ad"/>
        <w:numPr>
          <w:ilvl w:val="0"/>
          <w:numId w:val="3"/>
        </w:numPr>
        <w:spacing w:line="360" w:lineRule="auto"/>
        <w:jc w:val="both"/>
        <w:rPr>
          <w:noProof w:val="0"/>
          <w:rtl/>
        </w:rPr>
      </w:pPr>
      <w:r>
        <w:rPr>
          <w:b/>
          <w:bCs/>
          <w:noProof w:val="0"/>
          <w:rtl/>
        </w:rPr>
        <w:t>התובע 3</w:t>
      </w:r>
      <w:r>
        <w:rPr>
          <w:noProof w:val="0"/>
          <w:rtl/>
        </w:rPr>
        <w:t xml:space="preserve"> בחקירתו ציין לגבי העברת הדירה את הדברים הבאים וכיצד הדברים התדרדרו:</w:t>
      </w:r>
    </w:p>
    <w:p w:rsidR="003B6B3C" w:rsidRDefault="002B4F33" w:rsidP="003B6B3C">
      <w:pPr>
        <w:pStyle w:val="ad"/>
        <w:spacing w:line="360" w:lineRule="auto"/>
        <w:ind w:left="567"/>
        <w:jc w:val="both"/>
        <w:rPr>
          <w:b/>
          <w:bCs/>
          <w:noProof w:val="0"/>
        </w:rPr>
      </w:pPr>
      <w:r>
        <w:rPr>
          <w:b/>
          <w:bCs/>
          <w:noProof w:val="0"/>
          <w:rtl/>
        </w:rPr>
        <w:t>"מתי התדרדר הכי הרבה? מתי</w:t>
      </w:r>
      <w:bookmarkStart w:id="10" w:name="_ETM_Q_865286"/>
      <w:bookmarkEnd w:id="10"/>
      <w:r>
        <w:rPr>
          <w:b/>
          <w:bCs/>
          <w:noProof w:val="0"/>
          <w:rtl/>
        </w:rPr>
        <w:t xml:space="preserve"> שכבר ב-2016 היא העבירה את הבית הזה גם על שמה. </w:t>
      </w:r>
      <w:bookmarkStart w:id="11" w:name="_ETM_Q_868407"/>
      <w:bookmarkEnd w:id="11"/>
      <w:r>
        <w:rPr>
          <w:b/>
          <w:bCs/>
          <w:noProof w:val="0"/>
          <w:rtl/>
        </w:rPr>
        <w:t xml:space="preserve">עזוב שכל 3 הדירות מהכסף של אבא שלי, הכול. למה </w:t>
      </w:r>
      <w:bookmarkStart w:id="12" w:name="_ETM_Q_876245"/>
      <w:bookmarkEnd w:id="12"/>
      <w:r>
        <w:rPr>
          <w:b/>
          <w:bCs/>
          <w:noProof w:val="0"/>
          <w:rtl/>
        </w:rPr>
        <w:t>הקשב, לא היה להם מה לאכול, לא היה להם</w:t>
      </w:r>
      <w:bookmarkStart w:id="13" w:name="_ETM_Q_877012"/>
      <w:bookmarkEnd w:id="13"/>
      <w:r>
        <w:rPr>
          <w:b/>
          <w:bCs/>
          <w:noProof w:val="0"/>
          <w:rtl/>
        </w:rPr>
        <w:t xml:space="preserve"> כסף לשלם שכירות.</w:t>
      </w:r>
      <w:bookmarkStart w:id="14" w:name="_ETM_Q_879883"/>
      <w:bookmarkEnd w:id="14"/>
      <w:r>
        <w:rPr>
          <w:b/>
          <w:bCs/>
          <w:noProof w:val="0"/>
          <w:rtl/>
        </w:rPr>
        <w:t xml:space="preserve"> [...] למה?</w:t>
      </w:r>
      <w:r>
        <w:rPr>
          <w:rFonts w:hint="cs"/>
          <w:b/>
          <w:bCs/>
          <w:noProof w:val="0"/>
        </w:rPr>
        <w:t xml:space="preserve"> </w:t>
      </w:r>
      <w:r>
        <w:rPr>
          <w:b/>
          <w:bCs/>
          <w:noProof w:val="0"/>
          <w:rtl/>
        </w:rPr>
        <w:t>בוא אני אגיד לך. אני אביא לך</w:t>
      </w:r>
      <w:bookmarkStart w:id="15" w:name="_ETM_Q_941900"/>
      <w:bookmarkEnd w:id="15"/>
      <w:r>
        <w:rPr>
          <w:b/>
          <w:bCs/>
          <w:noProof w:val="0"/>
          <w:rtl/>
        </w:rPr>
        <w:t xml:space="preserve"> הקלטות שלי ושלה. כבוד השופטת פה, שאתה שתראה במשך </w:t>
      </w:r>
      <w:bookmarkStart w:id="16" w:name="_ETM_Q_946856"/>
      <w:bookmarkEnd w:id="16"/>
      <w:r>
        <w:rPr>
          <w:b/>
          <w:bCs/>
          <w:noProof w:val="0"/>
          <w:rtl/>
        </w:rPr>
        <w:t xml:space="preserve">כל השנים האלה אני מתחנן אליה, הייתי איתה ביחסים הכי </w:t>
      </w:r>
      <w:bookmarkStart w:id="17" w:name="_ETM_Q_952843"/>
      <w:bookmarkEnd w:id="17"/>
      <w:r>
        <w:rPr>
          <w:b/>
          <w:bCs/>
          <w:noProof w:val="0"/>
          <w:rtl/>
        </w:rPr>
        <w:t>טובים. "</w:t>
      </w:r>
      <w:r w:rsidR="00A633AD">
        <w:rPr>
          <w:rFonts w:hint="cs"/>
          <w:b/>
          <w:bCs/>
          <w:noProof w:val="0"/>
          <w:rtl/>
        </w:rPr>
        <w:t>***</w:t>
      </w:r>
      <w:r>
        <w:rPr>
          <w:b/>
          <w:bCs/>
          <w:noProof w:val="0"/>
          <w:rtl/>
        </w:rPr>
        <w:t>, אחותי, מה הבעיה שלך?</w:t>
      </w:r>
      <w:r>
        <w:rPr>
          <w:rFonts w:hint="cs"/>
          <w:b/>
          <w:bCs/>
          <w:noProof w:val="0"/>
        </w:rPr>
        <w:t xml:space="preserve"> </w:t>
      </w:r>
      <w:r>
        <w:rPr>
          <w:b/>
          <w:bCs/>
          <w:noProof w:val="0"/>
          <w:rtl/>
        </w:rPr>
        <w:t>מה</w:t>
      </w:r>
      <w:bookmarkStart w:id="18" w:name="_ETM_Q_959880"/>
      <w:bookmarkEnd w:id="18"/>
      <w:r>
        <w:rPr>
          <w:b/>
          <w:bCs/>
          <w:noProof w:val="0"/>
          <w:rtl/>
        </w:rPr>
        <w:t xml:space="preserve"> שאת רוצה". היא אמרה לי "אין בעיה, נעשה שלום אבל בלי תנאים, בלי להחזיר". יש לי את ההקלטות</w:t>
      </w:r>
      <w:bookmarkStart w:id="19" w:name="_ETM_Q_964289"/>
      <w:bookmarkEnd w:id="19"/>
      <w:r>
        <w:rPr>
          <w:b/>
          <w:bCs/>
          <w:noProof w:val="0"/>
          <w:rtl/>
        </w:rPr>
        <w:t>."</w:t>
      </w:r>
    </w:p>
    <w:p w:rsidR="003B6B3C" w:rsidRDefault="002B4F33" w:rsidP="003B6B3C">
      <w:pPr>
        <w:pStyle w:val="ad"/>
        <w:spacing w:line="360" w:lineRule="auto"/>
        <w:ind w:left="567"/>
        <w:jc w:val="both"/>
        <w:rPr>
          <w:noProof w:val="0"/>
          <w:rtl/>
        </w:rPr>
      </w:pPr>
      <w:r>
        <w:rPr>
          <w:noProof w:val="0"/>
          <w:rtl/>
        </w:rPr>
        <w:t>(ראו: פרוט' מיום 22.5.22, עמ' 23 שורות 16-18, עמ' 24 שורות 3-6).</w:t>
      </w:r>
    </w:p>
    <w:p w:rsidR="003B6B3C" w:rsidRDefault="003B6B3C" w:rsidP="003B6B3C">
      <w:pPr>
        <w:pStyle w:val="ad"/>
        <w:spacing w:line="360" w:lineRule="auto"/>
        <w:ind w:left="567"/>
        <w:jc w:val="both"/>
        <w:rPr>
          <w:noProof w:val="0"/>
          <w:rtl/>
        </w:rPr>
      </w:pPr>
    </w:p>
    <w:p w:rsidR="003B6B3C" w:rsidRDefault="002B4F33" w:rsidP="003B6B3C">
      <w:pPr>
        <w:pStyle w:val="ad"/>
        <w:numPr>
          <w:ilvl w:val="0"/>
          <w:numId w:val="3"/>
        </w:numPr>
        <w:spacing w:line="360" w:lineRule="auto"/>
        <w:jc w:val="both"/>
        <w:rPr>
          <w:noProof w:val="0"/>
        </w:rPr>
      </w:pPr>
      <w:r>
        <w:rPr>
          <w:b/>
          <w:bCs/>
          <w:noProof w:val="0"/>
          <w:rtl/>
        </w:rPr>
        <w:t xml:space="preserve">התובע 1 </w:t>
      </w:r>
      <w:r>
        <w:rPr>
          <w:noProof w:val="0"/>
          <w:rtl/>
        </w:rPr>
        <w:t xml:space="preserve">חזר גם הוא כי האב היה נתון להשפעה קשה של הנתבעים ואף לאיומים (ראו: פרוט' מיום 22.5.22, עמ' 34 שורות 22-28). בהמשך טען כי הנתבעים לא אפשרו לו לראות את האב (עמ' 39 שורות 24-27), ובהמשך שהאב ביקש שלא יבואו כי הנתבעת לא מרשה שיפגשו עימו (עמ' 40).  התובע 1 נתן גרסה מפורטת בעניין זה ואני נותנת בה אמון. </w:t>
      </w:r>
    </w:p>
    <w:p w:rsidR="003B6B3C" w:rsidRDefault="003B6B3C" w:rsidP="003B6B3C">
      <w:pPr>
        <w:pStyle w:val="ad"/>
        <w:spacing w:line="360" w:lineRule="auto"/>
        <w:ind w:left="567"/>
        <w:jc w:val="both"/>
        <w:rPr>
          <w:noProof w:val="0"/>
        </w:rPr>
      </w:pPr>
    </w:p>
    <w:p w:rsidR="003B6B3C" w:rsidRDefault="002B4F33" w:rsidP="007B3955">
      <w:pPr>
        <w:pStyle w:val="ad"/>
        <w:numPr>
          <w:ilvl w:val="0"/>
          <w:numId w:val="3"/>
        </w:numPr>
        <w:spacing w:line="360" w:lineRule="auto"/>
        <w:jc w:val="both"/>
        <w:rPr>
          <w:noProof w:val="0"/>
        </w:rPr>
      </w:pPr>
      <w:r>
        <w:rPr>
          <w:b/>
          <w:bCs/>
          <w:noProof w:val="0"/>
          <w:rtl/>
        </w:rPr>
        <w:t xml:space="preserve">גם התובע 4 </w:t>
      </w:r>
      <w:r>
        <w:rPr>
          <w:noProof w:val="0"/>
          <w:rtl/>
        </w:rPr>
        <w:t xml:space="preserve"> - שהתקשה לתת עדות ודווקא בשל כך יש לתת משקל רב לעדותו - אישר כי הנתבעים לא היו נותנים לו לראות את האב: </w:t>
      </w:r>
      <w:r>
        <w:rPr>
          <w:rFonts w:ascii="Arial" w:hAnsi="Arial"/>
          <w:rtl/>
        </w:rPr>
        <w:t>"</w:t>
      </w:r>
      <w:r>
        <w:rPr>
          <w:rFonts w:ascii="Arial" w:hAnsi="Arial"/>
          <w:b/>
          <w:bCs/>
          <w:rtl/>
        </w:rPr>
        <w:t xml:space="preserve">האחים, גיסי ואחותי, </w:t>
      </w:r>
      <w:r w:rsidR="00956A94">
        <w:rPr>
          <w:rFonts w:ascii="Arial" w:hAnsi="Arial" w:hint="cs"/>
          <w:b/>
          <w:bCs/>
          <w:rtl/>
        </w:rPr>
        <w:t xml:space="preserve">*** </w:t>
      </w:r>
      <w:r>
        <w:rPr>
          <w:rFonts w:ascii="Arial" w:hAnsi="Arial"/>
          <w:b/>
          <w:bCs/>
          <w:rtl/>
        </w:rPr>
        <w:t xml:space="preserve">וגיסי, לא היו נותנים </w:t>
      </w:r>
      <w:bookmarkStart w:id="20" w:name="_ETM_Q_458192"/>
      <w:bookmarkEnd w:id="20"/>
      <w:r>
        <w:rPr>
          <w:rFonts w:ascii="Arial" w:hAnsi="Arial"/>
          <w:b/>
          <w:bCs/>
          <w:rtl/>
        </w:rPr>
        <w:t xml:space="preserve">לי לעלות, ובקושי היו נותנים לי לעלות לבית, 'אבא חולה, </w:t>
      </w:r>
      <w:bookmarkStart w:id="21" w:name="_ETM_Q_459097"/>
      <w:bookmarkEnd w:id="21"/>
      <w:r>
        <w:rPr>
          <w:rFonts w:ascii="Arial" w:hAnsi="Arial"/>
          <w:b/>
          <w:bCs/>
          <w:rtl/>
        </w:rPr>
        <w:t>אבא לא מרגיש טוב', והיו סוגרים עלי את הדלת</w:t>
      </w:r>
      <w:r>
        <w:rPr>
          <w:rFonts w:ascii="Arial" w:hAnsi="Arial"/>
          <w:rtl/>
        </w:rPr>
        <w:t xml:space="preserve">[...] </w:t>
      </w:r>
      <w:r>
        <w:rPr>
          <w:rFonts w:ascii="Arial" w:hAnsi="Arial"/>
          <w:b/>
          <w:bCs/>
          <w:rtl/>
        </w:rPr>
        <w:t xml:space="preserve">אפילו שהייתי רעב, הייתי אומר לה </w:t>
      </w:r>
      <w:r w:rsidR="00956A94">
        <w:rPr>
          <w:rFonts w:ascii="Arial" w:hAnsi="Arial" w:hint="cs"/>
          <w:b/>
          <w:bCs/>
          <w:rtl/>
        </w:rPr>
        <w:t>'***</w:t>
      </w:r>
      <w:r>
        <w:rPr>
          <w:rFonts w:ascii="Arial" w:hAnsi="Arial"/>
          <w:b/>
          <w:bCs/>
          <w:rtl/>
        </w:rPr>
        <w:t xml:space="preserve">, אני, בבקשה, אני רעב, אני לא באתי בשביל משהו אחר' היא לא היתה פותחת. הייתי שומע את הקול של </w:t>
      </w:r>
      <w:r w:rsidR="00956A94">
        <w:rPr>
          <w:rFonts w:ascii="Arial" w:hAnsi="Arial" w:hint="cs"/>
          <w:b/>
          <w:bCs/>
          <w:rtl/>
        </w:rPr>
        <w:t>***</w:t>
      </w:r>
      <w:r>
        <w:rPr>
          <w:rFonts w:ascii="Arial" w:hAnsi="Arial"/>
          <w:b/>
          <w:bCs/>
          <w:rtl/>
        </w:rPr>
        <w:t>שהיה אומר 'אל תפתחי, תהיי בשקט, בשום אופן אל תפתחי, תני לו להיות שם', הייתי יושב שעה ליד הדלת שמה, והם לא היו פותחים לי, הייתי מתייאש והולך</w:t>
      </w:r>
      <w:r>
        <w:rPr>
          <w:rFonts w:ascii="Arial" w:hAnsi="Arial"/>
          <w:rtl/>
        </w:rPr>
        <w:t>. "</w:t>
      </w:r>
      <w:r>
        <w:rPr>
          <w:noProof w:val="0"/>
          <w:rtl/>
        </w:rPr>
        <w:t xml:space="preserve"> (ראו: פרוט' מיום 25.5.22, עמ' </w:t>
      </w:r>
      <w:r>
        <w:rPr>
          <w:noProof w:val="0"/>
          <w:rtl/>
        </w:rPr>
        <w:lastRenderedPageBreak/>
        <w:t xml:space="preserve">56 שורות 9-11, 13-18). גם בהמשך החקירה חזר והשיב: </w:t>
      </w:r>
      <w:r>
        <w:rPr>
          <w:rFonts w:ascii="Arial" w:hAnsi="Arial"/>
          <w:rtl/>
        </w:rPr>
        <w:t>"</w:t>
      </w:r>
      <w:r>
        <w:rPr>
          <w:rFonts w:ascii="Arial" w:hAnsi="Arial"/>
          <w:b/>
          <w:bCs/>
          <w:rtl/>
        </w:rPr>
        <w:t xml:space="preserve">[..]הם התחילו לסכסך ביני לבין אבי, </w:t>
      </w:r>
      <w:bookmarkStart w:id="22" w:name="_ETM_Q_561564"/>
      <w:bookmarkEnd w:id="22"/>
      <w:r>
        <w:rPr>
          <w:rFonts w:ascii="Arial" w:hAnsi="Arial"/>
          <w:b/>
          <w:bCs/>
          <w:rtl/>
        </w:rPr>
        <w:t>שככה אבי, אבי בכלל לא היה פותח לי את הדלת</w:t>
      </w:r>
      <w:bookmarkStart w:id="23" w:name="_ETM_Q_566270"/>
      <w:bookmarkEnd w:id="23"/>
      <w:r>
        <w:rPr>
          <w:rFonts w:ascii="Arial" w:hAnsi="Arial"/>
          <w:b/>
          <w:bCs/>
          <w:rtl/>
        </w:rPr>
        <w:t xml:space="preserve">, בשום אופן לא </w:t>
      </w:r>
      <w:bookmarkStart w:id="24" w:name="_ETM_Q_567275"/>
      <w:bookmarkEnd w:id="24"/>
      <w:r>
        <w:rPr>
          <w:rFonts w:ascii="Arial" w:hAnsi="Arial"/>
          <w:b/>
          <w:bCs/>
          <w:rtl/>
        </w:rPr>
        <w:t>היו מרשים לו לפתוח לי את הדלת.</w:t>
      </w:r>
      <w:r>
        <w:rPr>
          <w:rFonts w:ascii="Arial" w:hAnsi="Arial"/>
          <w:rtl/>
        </w:rPr>
        <w:t>"</w:t>
      </w:r>
      <w:r>
        <w:rPr>
          <w:noProof w:val="0"/>
          <w:rtl/>
        </w:rPr>
        <w:t xml:space="preserve"> (עמ' 57 שורות 1-2). </w:t>
      </w:r>
    </w:p>
    <w:p w:rsidR="003B6B3C" w:rsidRDefault="003B6B3C" w:rsidP="003B6B3C">
      <w:pPr>
        <w:pStyle w:val="ad"/>
        <w:rPr>
          <w:noProof w:val="0"/>
        </w:rPr>
      </w:pPr>
    </w:p>
    <w:p w:rsidR="003B6B3C" w:rsidRDefault="002B4F33" w:rsidP="003B6B3C">
      <w:pPr>
        <w:pStyle w:val="ad"/>
        <w:numPr>
          <w:ilvl w:val="0"/>
          <w:numId w:val="3"/>
        </w:numPr>
        <w:spacing w:line="360" w:lineRule="auto"/>
        <w:jc w:val="both"/>
        <w:rPr>
          <w:noProof w:val="0"/>
          <w:rtl/>
        </w:rPr>
      </w:pPr>
      <w:r>
        <w:rPr>
          <w:rtl/>
        </w:rPr>
        <w:t xml:space="preserve">בחקירתו של </w:t>
      </w:r>
      <w:r>
        <w:rPr>
          <w:b/>
          <w:bCs/>
          <w:rtl/>
        </w:rPr>
        <w:t>הנתבע</w:t>
      </w:r>
      <w:r>
        <w:rPr>
          <w:rtl/>
        </w:rPr>
        <w:t xml:space="preserve"> הוא אישר כי למנוח היה קשה לגור לבד ולטפל בצרכיו הבסיסיים (</w:t>
      </w:r>
      <w:r>
        <w:rPr>
          <w:noProof w:val="0"/>
          <w:rtl/>
        </w:rPr>
        <w:t xml:space="preserve">(ראו: פרוט' מיום 25.5.22, עמ' 91 שורות 21-24). בהמשך הדגיש כי הוא ואשתו הנתבעת טיפלו במנוח במסירות גדולה (עמ' 92 שורות 29-31). כאשר נשאל הנתבע האם המנוח היה תלוי בנתבעים התחמק מלהשיב ולבסוף ציין כי המנוח היה תלוי רק בנתבעת, ואם היא לא הייתה עושה  דברים עבורו איש לא היה עושה (עמ' 95). </w:t>
      </w:r>
    </w:p>
    <w:p w:rsidR="003B6B3C" w:rsidRDefault="003B6B3C" w:rsidP="003B6B3C">
      <w:pPr>
        <w:pStyle w:val="ad"/>
        <w:spacing w:line="360" w:lineRule="auto"/>
        <w:ind w:left="567"/>
        <w:jc w:val="both"/>
        <w:rPr>
          <w:noProof w:val="0"/>
        </w:rPr>
      </w:pPr>
    </w:p>
    <w:p w:rsidR="003B6B3C" w:rsidRDefault="002B4F33" w:rsidP="003B6B3C">
      <w:pPr>
        <w:pStyle w:val="ad"/>
        <w:numPr>
          <w:ilvl w:val="0"/>
          <w:numId w:val="3"/>
        </w:numPr>
        <w:spacing w:line="360" w:lineRule="auto"/>
        <w:jc w:val="both"/>
        <w:rPr>
          <w:noProof w:val="0"/>
        </w:rPr>
      </w:pPr>
      <w:r>
        <w:rPr>
          <w:rtl/>
        </w:rPr>
        <w:t xml:space="preserve">בכל הנוגע לעניינים הכלכליים ציין </w:t>
      </w:r>
      <w:r>
        <w:rPr>
          <w:b/>
          <w:bCs/>
          <w:rtl/>
        </w:rPr>
        <w:t>הנתבע</w:t>
      </w:r>
      <w:r>
        <w:rPr>
          <w:rtl/>
        </w:rPr>
        <w:t xml:space="preserve"> בחקירתו כי מאחר והאב לא ידע קרוא וכתוב הנתבעים היו כותבים לו את השיקים והוא היה רק חותם </w:t>
      </w:r>
      <w:r>
        <w:rPr>
          <w:noProof w:val="0"/>
          <w:rtl/>
        </w:rPr>
        <w:t xml:space="preserve">(ראו: פרוט' מיום 25.5.22, עמ' 97 שורות 2-5). גם </w:t>
      </w:r>
      <w:r>
        <w:rPr>
          <w:b/>
          <w:bCs/>
          <w:noProof w:val="0"/>
          <w:rtl/>
        </w:rPr>
        <w:t>הנתבעת</w:t>
      </w:r>
      <w:r>
        <w:rPr>
          <w:noProof w:val="0"/>
          <w:rtl/>
        </w:rPr>
        <w:t xml:space="preserve"> בחקירתה אישרה את ההתנהלות הזו לגבי השיקים (ראו: פרוט' מיום 25.5.22, עמ' 121 שורות 18-26). עניין זה מעיד על תלות החורגת רק מטיפול יומיומי בצרכיו של המנוח ומעלה גם תלות במישור ההתנהלות הכלכלית.</w:t>
      </w:r>
    </w:p>
    <w:p w:rsidR="003B6B3C" w:rsidRDefault="003B6B3C" w:rsidP="003B6B3C">
      <w:pPr>
        <w:pStyle w:val="ad"/>
        <w:rPr>
          <w:noProof w:val="0"/>
        </w:rPr>
      </w:pPr>
    </w:p>
    <w:p w:rsidR="003B6B3C" w:rsidRDefault="002B4F33" w:rsidP="003B6B3C">
      <w:pPr>
        <w:pStyle w:val="ad"/>
        <w:numPr>
          <w:ilvl w:val="0"/>
          <w:numId w:val="3"/>
        </w:numPr>
        <w:spacing w:line="360" w:lineRule="auto"/>
        <w:jc w:val="both"/>
        <w:rPr>
          <w:noProof w:val="0"/>
          <w:rtl/>
        </w:rPr>
      </w:pPr>
      <w:r>
        <w:rPr>
          <w:b/>
          <w:bCs/>
          <w:noProof w:val="0"/>
          <w:rtl/>
        </w:rPr>
        <w:t>הנתבע</w:t>
      </w:r>
      <w:r>
        <w:rPr>
          <w:noProof w:val="0"/>
          <w:rtl/>
        </w:rPr>
        <w:t xml:space="preserve"> נשאל בחקירתו על ביקורים של התובעים אצל האב, והשיב כי הם לא רצו לבוא לבקר את האב. בהמשך שינה את תשובתו וציין כי היו מגיעים אך מטרידים ומקללים (ראו: פרוט' מיום 25.5.22, עמ' 98 שורות 7-17). עוד ציין כי הנתבעים הגישו נגד התובעים תלונות במשטרה ופנה אליהם במילים קשות מאוד במהלך עדותו (עמ' 98). </w:t>
      </w:r>
    </w:p>
    <w:p w:rsidR="003B6B3C" w:rsidRDefault="003B6B3C" w:rsidP="003B6B3C">
      <w:pPr>
        <w:pStyle w:val="ad"/>
        <w:rPr>
          <w:noProof w:val="0"/>
        </w:rPr>
      </w:pPr>
    </w:p>
    <w:p w:rsidR="003B6B3C" w:rsidRDefault="002B4F33" w:rsidP="003B6B3C">
      <w:pPr>
        <w:pStyle w:val="ad"/>
        <w:numPr>
          <w:ilvl w:val="0"/>
          <w:numId w:val="3"/>
        </w:numPr>
        <w:spacing w:line="360" w:lineRule="auto"/>
        <w:jc w:val="both"/>
        <w:rPr>
          <w:noProof w:val="0"/>
          <w:rtl/>
        </w:rPr>
      </w:pPr>
      <w:r>
        <w:rPr>
          <w:noProof w:val="0"/>
          <w:rtl/>
        </w:rPr>
        <w:t xml:space="preserve">בהמשך החקירה נשאל </w:t>
      </w:r>
      <w:r>
        <w:rPr>
          <w:b/>
          <w:bCs/>
          <w:noProof w:val="0"/>
          <w:rtl/>
        </w:rPr>
        <w:t>הנתבע</w:t>
      </w:r>
      <w:r>
        <w:rPr>
          <w:noProof w:val="0"/>
          <w:rtl/>
        </w:rPr>
        <w:t xml:space="preserve"> לגבי העדר הקשר הטלפוני עם האב ומדוע הנתבעת הייתה עונה לטלפון הנייד שלו והשיב כי הסיבה לכך שהאב היה ישן רוב היום, ובהמשך כי הנתבעת ענתה כי לא רצתה להעיר אותו. הוא טען כי האב היה ישן 18 שעות ביום (ראו: פרוט' מיום 25.5.22, עמ' 101 שורות 1-13).</w:t>
      </w:r>
    </w:p>
    <w:p w:rsidR="003B6B3C" w:rsidRDefault="003B6B3C" w:rsidP="003B6B3C">
      <w:pPr>
        <w:pStyle w:val="ad"/>
        <w:rPr>
          <w:noProof w:val="0"/>
        </w:rPr>
      </w:pPr>
    </w:p>
    <w:p w:rsidR="003B6B3C" w:rsidRDefault="002B4F33" w:rsidP="003B6B3C">
      <w:pPr>
        <w:pStyle w:val="ad"/>
        <w:numPr>
          <w:ilvl w:val="0"/>
          <w:numId w:val="3"/>
        </w:numPr>
        <w:spacing w:line="360" w:lineRule="auto"/>
        <w:jc w:val="both"/>
        <w:rPr>
          <w:noProof w:val="0"/>
          <w:rtl/>
        </w:rPr>
      </w:pPr>
      <w:r>
        <w:rPr>
          <w:noProof w:val="0"/>
          <w:rtl/>
        </w:rPr>
        <w:t>תשובות הנתבע לגבי הביקורים והקשר עם התובעים לא היו משכנעות.</w:t>
      </w:r>
    </w:p>
    <w:p w:rsidR="003B6B3C" w:rsidRDefault="003B6B3C" w:rsidP="003B6B3C">
      <w:pPr>
        <w:pStyle w:val="ad"/>
        <w:rPr>
          <w:noProof w:val="0"/>
        </w:rPr>
      </w:pPr>
    </w:p>
    <w:p w:rsidR="003B6B3C" w:rsidRDefault="002B4F33" w:rsidP="003B6B3C">
      <w:pPr>
        <w:pStyle w:val="ad"/>
        <w:numPr>
          <w:ilvl w:val="0"/>
          <w:numId w:val="3"/>
        </w:numPr>
        <w:spacing w:line="360" w:lineRule="auto"/>
        <w:jc w:val="both"/>
        <w:rPr>
          <w:noProof w:val="0"/>
          <w:rtl/>
        </w:rPr>
      </w:pPr>
      <w:r>
        <w:rPr>
          <w:b/>
          <w:bCs/>
          <w:noProof w:val="0"/>
          <w:rtl/>
        </w:rPr>
        <w:t xml:space="preserve">הנתבעת </w:t>
      </w:r>
      <w:r>
        <w:rPr>
          <w:noProof w:val="0"/>
          <w:rtl/>
        </w:rPr>
        <w:t>אישרה בחקירתה כי היא הייתה המטפלת העיקרית והיחידה של המנוח וכי איש מבני המשפחה לשיטתה לא עזר לה (ראו: פרוט' מיום 25.5.22, עמ' 117 שורות 30-34). היא ציינה כי טיפלה באב במסירות גדולה ודאגה לכל צרכיו (עמ' 118 שורות 1-5). בהמשך חקירתה הרושם היה שניסתה להמעיט מטיפולה והשפעה ותלותו של האב בה (עמ' 118-119). עם זאת אישרה כי האב סמך עליה מאוד (עמ' 119 שורות 34-35).</w:t>
      </w:r>
    </w:p>
    <w:p w:rsidR="003B6B3C" w:rsidRDefault="003B6B3C" w:rsidP="003B6B3C">
      <w:pPr>
        <w:pStyle w:val="ad"/>
        <w:rPr>
          <w:noProof w:val="0"/>
        </w:rPr>
      </w:pPr>
    </w:p>
    <w:p w:rsidR="0056665F" w:rsidRDefault="002B4F33" w:rsidP="0056665F">
      <w:pPr>
        <w:pStyle w:val="ad"/>
        <w:numPr>
          <w:ilvl w:val="0"/>
          <w:numId w:val="3"/>
        </w:numPr>
        <w:spacing w:line="360" w:lineRule="auto"/>
        <w:jc w:val="both"/>
        <w:rPr>
          <w:noProof w:val="0"/>
        </w:rPr>
      </w:pPr>
      <w:r>
        <w:rPr>
          <w:noProof w:val="0"/>
          <w:rtl/>
        </w:rPr>
        <w:t xml:space="preserve">כאשר נשאלה </w:t>
      </w:r>
      <w:r>
        <w:rPr>
          <w:b/>
          <w:bCs/>
          <w:noProof w:val="0"/>
          <w:rtl/>
        </w:rPr>
        <w:t>הנתבעת</w:t>
      </w:r>
      <w:r>
        <w:rPr>
          <w:noProof w:val="0"/>
          <w:rtl/>
        </w:rPr>
        <w:t xml:space="preserve"> לגבי ביקורי התובעים גם תשובותיה לא היו משכנעות (ראו: פרוט' מיום 25.5.22, עמ' 125 שורות 9-23). באותו האופן חזרה על הטענה כי האב ישן 18 שעות ביממה ולכן הטלפון שלו היה בידיה (עמ' 126 שורות 11-15).</w:t>
      </w:r>
    </w:p>
    <w:p w:rsidR="0056665F" w:rsidRDefault="0056665F" w:rsidP="007B3955">
      <w:pPr>
        <w:spacing w:line="360" w:lineRule="auto"/>
        <w:jc w:val="both"/>
        <w:rPr>
          <w:noProof w:val="0"/>
          <w:rtl/>
        </w:rPr>
      </w:pPr>
    </w:p>
    <w:p w:rsidR="003B6B3C" w:rsidRDefault="002B4F33" w:rsidP="003B6B3C">
      <w:pPr>
        <w:pStyle w:val="ad"/>
        <w:numPr>
          <w:ilvl w:val="0"/>
          <w:numId w:val="3"/>
        </w:numPr>
        <w:spacing w:line="360" w:lineRule="auto"/>
        <w:jc w:val="both"/>
        <w:rPr>
          <w:noProof w:val="0"/>
        </w:rPr>
      </w:pPr>
      <w:r>
        <w:rPr>
          <w:noProof w:val="0"/>
          <w:rtl/>
        </w:rPr>
        <w:t xml:space="preserve">יצויין כי בתצהירו של הנכד </w:t>
      </w:r>
      <w:r w:rsidR="00256B06">
        <w:rPr>
          <w:rFonts w:hint="cs"/>
          <w:noProof w:val="0"/>
          <w:rtl/>
        </w:rPr>
        <w:t>****</w:t>
      </w:r>
      <w:r>
        <w:rPr>
          <w:noProof w:val="0"/>
          <w:rtl/>
        </w:rPr>
        <w:t xml:space="preserve"> ובחקירתו לא היה כדי לשפוך אור נוסף על המחלוקות. </w:t>
      </w:r>
    </w:p>
    <w:p w:rsidR="003B6B3C" w:rsidRDefault="003B6B3C" w:rsidP="003B6B3C">
      <w:pPr>
        <w:pStyle w:val="ad"/>
        <w:spacing w:line="360" w:lineRule="auto"/>
        <w:ind w:left="567"/>
        <w:jc w:val="both"/>
        <w:rPr>
          <w:noProof w:val="0"/>
        </w:rPr>
      </w:pPr>
    </w:p>
    <w:p w:rsidR="003B6B3C" w:rsidRDefault="002B4F33" w:rsidP="003B6B3C">
      <w:pPr>
        <w:pStyle w:val="ad"/>
        <w:numPr>
          <w:ilvl w:val="0"/>
          <w:numId w:val="3"/>
        </w:numPr>
        <w:spacing w:line="360" w:lineRule="auto"/>
        <w:jc w:val="both"/>
        <w:rPr>
          <w:noProof w:val="0"/>
        </w:rPr>
      </w:pPr>
      <w:r>
        <w:rPr>
          <w:b/>
          <w:bCs/>
          <w:noProof w:val="0"/>
          <w:rtl/>
        </w:rPr>
        <w:t xml:space="preserve">העד </w:t>
      </w:r>
      <w:r w:rsidR="0056665F">
        <w:rPr>
          <w:rFonts w:hint="cs"/>
          <w:b/>
          <w:bCs/>
          <w:noProof w:val="0"/>
          <w:rtl/>
        </w:rPr>
        <w:t>****</w:t>
      </w:r>
      <w:r>
        <w:rPr>
          <w:b/>
          <w:bCs/>
          <w:noProof w:val="0"/>
          <w:rtl/>
        </w:rPr>
        <w:t>, שהיה חבר של האב המנוח</w:t>
      </w:r>
      <w:r>
        <w:rPr>
          <w:noProof w:val="0"/>
          <w:rtl/>
        </w:rPr>
        <w:t>, תיאר כי המנוח סיפר לו על המחלוקות הרכושיות המתייחסות לרכושו בין הילדים, ותיאר כי המנוח קשר בין העברת המגרשים לצורך לתת את הדירה לנתבעת (ראו: פרוט' מיום 25.5.22, עמ' 65 שורות 10-18). העד סיפר כי התובעים היו באים כל בוקר לראות את האב והיו נדחים על ידו ושהוא ניסה לדבר על ליבו של האב לדבר איתם (עמ' 66 שורות 9-14). העד ציין כי מעמד העדות מאוד לא נעים לו (עמ' 68 שורות 19-28). העד ציין בהמשך עדותו כי המנוח לא אמר לו כי הוא נתון לאיומים של הנתבעים. עם זאת בהמשך התשובה היתה מורכבת יותר:</w:t>
      </w:r>
    </w:p>
    <w:p w:rsidR="003B6B3C" w:rsidRDefault="002B4F33" w:rsidP="003B6B3C">
      <w:pPr>
        <w:pStyle w:val="ad"/>
        <w:spacing w:line="360" w:lineRule="auto"/>
        <w:ind w:left="567"/>
        <w:rPr>
          <w:b/>
          <w:bCs/>
          <w:noProof w:val="0"/>
        </w:rPr>
      </w:pPr>
      <w:r>
        <w:rPr>
          <w:noProof w:val="0"/>
          <w:rtl/>
        </w:rPr>
        <w:t>"</w:t>
      </w:r>
      <w:r>
        <w:rPr>
          <w:b/>
          <w:bCs/>
          <w:noProof w:val="0"/>
          <w:rtl/>
        </w:rPr>
        <w:t>ש: [..] התרשמת שהוא בן אדם חופשי וצלול?</w:t>
      </w:r>
    </w:p>
    <w:p w:rsidR="003B6B3C" w:rsidRDefault="002B4F33" w:rsidP="003B6B3C">
      <w:pPr>
        <w:pStyle w:val="ad"/>
        <w:spacing w:line="360" w:lineRule="auto"/>
        <w:ind w:left="567"/>
        <w:rPr>
          <w:b/>
          <w:bCs/>
          <w:noProof w:val="0"/>
          <w:rtl/>
        </w:rPr>
      </w:pPr>
      <w:r>
        <w:rPr>
          <w:b/>
          <w:bCs/>
          <w:noProof w:val="0"/>
          <w:rtl/>
        </w:rPr>
        <w:t xml:space="preserve">ת: לא, </w:t>
      </w:r>
      <w:r>
        <w:rPr>
          <w:b/>
          <w:bCs/>
          <w:noProof w:val="0"/>
          <w:u w:val="single"/>
          <w:rtl/>
        </w:rPr>
        <w:t>הוא היה קצת מפוחד. הוא היה הרבה פעמים מפוחד</w:t>
      </w:r>
      <w:r>
        <w:rPr>
          <w:b/>
          <w:bCs/>
          <w:noProof w:val="0"/>
          <w:rtl/>
        </w:rPr>
        <w:t xml:space="preserve">. הרבה פעמים. הייתי אומר, </w:t>
      </w:r>
      <w:r>
        <w:rPr>
          <w:b/>
          <w:bCs/>
          <w:noProof w:val="0"/>
          <w:u w:val="single"/>
          <w:rtl/>
        </w:rPr>
        <w:t>הייתי מנסה להוציא ממנו מילים, הוא היה שותק</w:t>
      </w:r>
      <w:r>
        <w:rPr>
          <w:b/>
          <w:bCs/>
          <w:noProof w:val="0"/>
          <w:rtl/>
        </w:rPr>
        <w:t xml:space="preserve">, הוא לא (לא ברור). </w:t>
      </w:r>
    </w:p>
    <w:p w:rsidR="003B6B3C" w:rsidRDefault="002B4F33" w:rsidP="003B6B3C">
      <w:pPr>
        <w:pStyle w:val="ad"/>
        <w:spacing w:line="360" w:lineRule="auto"/>
        <w:ind w:left="567"/>
        <w:rPr>
          <w:b/>
          <w:bCs/>
          <w:noProof w:val="0"/>
          <w:rtl/>
        </w:rPr>
      </w:pPr>
      <w:r>
        <w:rPr>
          <w:b/>
          <w:bCs/>
          <w:noProof w:val="0"/>
          <w:rtl/>
        </w:rPr>
        <w:t xml:space="preserve">ש: אבל הוא לא אמר לך למה. </w:t>
      </w:r>
    </w:p>
    <w:p w:rsidR="003B6B3C" w:rsidRDefault="002B4F33" w:rsidP="003B6B3C">
      <w:pPr>
        <w:pStyle w:val="ad"/>
        <w:spacing w:line="360" w:lineRule="auto"/>
        <w:ind w:left="567"/>
        <w:jc w:val="both"/>
        <w:rPr>
          <w:noProof w:val="0"/>
          <w:rtl/>
        </w:rPr>
      </w:pPr>
      <w:r>
        <w:rPr>
          <w:b/>
          <w:bCs/>
          <w:noProof w:val="0"/>
          <w:rtl/>
        </w:rPr>
        <w:t xml:space="preserve">ת: </w:t>
      </w:r>
      <w:r>
        <w:rPr>
          <w:b/>
          <w:bCs/>
          <w:noProof w:val="0"/>
          <w:u w:val="single"/>
          <w:rtl/>
        </w:rPr>
        <w:t>הוא לא היה מדבר. הייתי אומר לו 'תשפוך', הוא היה אומר 'עזוב אותי, עזוב אותי'</w:t>
      </w:r>
      <w:r>
        <w:rPr>
          <w:noProof w:val="0"/>
          <w:rtl/>
        </w:rPr>
        <w:t>." (ההדגשות בקו – הוספו).</w:t>
      </w:r>
    </w:p>
    <w:p w:rsidR="003B6B3C" w:rsidRDefault="002B4F33" w:rsidP="003B6B3C">
      <w:pPr>
        <w:pStyle w:val="ad"/>
        <w:spacing w:line="360" w:lineRule="auto"/>
        <w:ind w:left="567"/>
        <w:jc w:val="both"/>
        <w:rPr>
          <w:noProof w:val="0"/>
        </w:rPr>
      </w:pPr>
      <w:r>
        <w:rPr>
          <w:noProof w:val="0"/>
          <w:rtl/>
        </w:rPr>
        <w:t>(ראו: פרוט' מיום 25.5.22, עמ' 71 שורות 5-11).</w:t>
      </w:r>
    </w:p>
    <w:p w:rsidR="003B6B3C" w:rsidRDefault="003B6B3C" w:rsidP="003B6B3C">
      <w:pPr>
        <w:pStyle w:val="ad"/>
        <w:spacing w:line="360" w:lineRule="auto"/>
        <w:ind w:left="567"/>
        <w:jc w:val="both"/>
        <w:rPr>
          <w:noProof w:val="0"/>
        </w:rPr>
      </w:pPr>
    </w:p>
    <w:p w:rsidR="003B6B3C" w:rsidRDefault="002B4F33" w:rsidP="003B6B3C">
      <w:pPr>
        <w:pStyle w:val="ad"/>
        <w:numPr>
          <w:ilvl w:val="0"/>
          <w:numId w:val="3"/>
        </w:numPr>
        <w:spacing w:line="360" w:lineRule="auto"/>
        <w:jc w:val="both"/>
        <w:rPr>
          <w:rFonts w:ascii="Arial" w:hAnsi="Arial"/>
          <w:noProof w:val="0"/>
        </w:rPr>
      </w:pPr>
      <w:r>
        <w:rPr>
          <w:rFonts w:ascii="Arial" w:hAnsi="Arial"/>
          <w:noProof w:val="0"/>
          <w:rtl/>
        </w:rPr>
        <w:t xml:space="preserve">במסגרת ההליך </w:t>
      </w:r>
      <w:r w:rsidRPr="007B3955">
        <w:rPr>
          <w:rFonts w:ascii="Arial" w:hAnsi="Arial"/>
          <w:b/>
          <w:bCs/>
          <w:noProof w:val="0"/>
          <w:highlight w:val="yellow"/>
          <w:rtl/>
        </w:rPr>
        <w:t>עו"ד קשקש</w:t>
      </w:r>
      <w:r>
        <w:rPr>
          <w:rFonts w:ascii="Arial" w:hAnsi="Arial"/>
          <w:noProof w:val="0"/>
          <w:rtl/>
        </w:rPr>
        <w:t xml:space="preserve"> שטיפל בהעברה הגיש תצהיר ונחקר. במסגרת תצהירו ציין את הפרטים הבאים לגבי ההעברה:</w:t>
      </w:r>
    </w:p>
    <w:p w:rsidR="003B6B3C" w:rsidRDefault="0056665F" w:rsidP="003B6B3C">
      <w:pPr>
        <w:pStyle w:val="ad"/>
        <w:spacing w:line="360" w:lineRule="auto"/>
        <w:ind w:left="567"/>
        <w:jc w:val="both"/>
        <w:rPr>
          <w:rFonts w:ascii="Arial" w:hAnsi="Arial"/>
          <w:noProof w:val="0"/>
        </w:rPr>
      </w:pPr>
      <w:r w:rsidRPr="0056665F">
        <w:rPr>
          <w:rFonts w:ascii="Arial" w:hAnsi="Arial"/>
          <w:rtl/>
        </w:rPr>
        <w:drawing>
          <wp:inline distT="0" distB="0" distL="0" distR="0">
            <wp:extent cx="4029075" cy="1698323"/>
            <wp:effectExtent l="0" t="0" r="0" b="0"/>
            <wp:docPr id="283641468"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641468" name=""/>
                    <pic:cNvPicPr/>
                  </pic:nvPicPr>
                  <pic:blipFill>
                    <a:blip r:embed="rId8"/>
                    <a:stretch>
                      <a:fillRect/>
                    </a:stretch>
                  </pic:blipFill>
                  <pic:spPr>
                    <a:xfrm>
                      <a:off x="0" y="0"/>
                      <a:ext cx="4044579" cy="1704858"/>
                    </a:xfrm>
                    <a:prstGeom prst="rect">
                      <a:avLst/>
                    </a:prstGeom>
                  </pic:spPr>
                </pic:pic>
              </a:graphicData>
            </a:graphic>
          </wp:inline>
        </w:drawing>
      </w:r>
    </w:p>
    <w:p w:rsidR="003B6B3C" w:rsidRDefault="00681EA2" w:rsidP="003B6B3C">
      <w:pPr>
        <w:pStyle w:val="ad"/>
        <w:spacing w:line="360" w:lineRule="auto"/>
        <w:ind w:left="567"/>
        <w:jc w:val="both"/>
        <w:rPr>
          <w:rFonts w:ascii="Arial" w:hAnsi="Arial"/>
          <w:noProof w:val="0"/>
        </w:rPr>
      </w:pPr>
      <w:r w:rsidRPr="00681EA2">
        <w:rPr>
          <w:rFonts w:ascii="Arial" w:hAnsi="Arial"/>
          <w:rtl/>
        </w:rPr>
        <w:drawing>
          <wp:inline distT="0" distB="0" distL="0" distR="0">
            <wp:extent cx="4442962" cy="790382"/>
            <wp:effectExtent l="0" t="0" r="0" b="0"/>
            <wp:docPr id="576950758"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950758" name=""/>
                    <pic:cNvPicPr/>
                  </pic:nvPicPr>
                  <pic:blipFill>
                    <a:blip r:embed="rId9"/>
                    <a:stretch>
                      <a:fillRect/>
                    </a:stretch>
                  </pic:blipFill>
                  <pic:spPr>
                    <a:xfrm>
                      <a:off x="0" y="0"/>
                      <a:ext cx="4462057" cy="793779"/>
                    </a:xfrm>
                    <a:prstGeom prst="rect">
                      <a:avLst/>
                    </a:prstGeom>
                  </pic:spPr>
                </pic:pic>
              </a:graphicData>
            </a:graphic>
          </wp:inline>
        </w:drawing>
      </w:r>
    </w:p>
    <w:p w:rsidR="003B6B3C" w:rsidRDefault="003B6B3C" w:rsidP="003B6B3C">
      <w:pPr>
        <w:pStyle w:val="ad"/>
        <w:spacing w:line="360" w:lineRule="auto"/>
        <w:ind w:left="567"/>
        <w:jc w:val="both"/>
        <w:rPr>
          <w:rFonts w:ascii="Arial" w:hAnsi="Arial"/>
          <w:noProof w:val="0"/>
        </w:rPr>
      </w:pPr>
    </w:p>
    <w:p w:rsidR="003B6B3C" w:rsidRDefault="002B4F33" w:rsidP="003B6B3C">
      <w:pPr>
        <w:pStyle w:val="ad"/>
        <w:numPr>
          <w:ilvl w:val="0"/>
          <w:numId w:val="3"/>
        </w:numPr>
        <w:spacing w:line="360" w:lineRule="auto"/>
        <w:jc w:val="both"/>
        <w:rPr>
          <w:noProof w:val="0"/>
          <w:rtl/>
        </w:rPr>
      </w:pPr>
      <w:r>
        <w:rPr>
          <w:rFonts w:ascii="Arial" w:hAnsi="Arial"/>
          <w:noProof w:val="0"/>
          <w:rtl/>
        </w:rPr>
        <w:lastRenderedPageBreak/>
        <w:t xml:space="preserve">בחקירתו של </w:t>
      </w:r>
      <w:r>
        <w:rPr>
          <w:rFonts w:ascii="Arial" w:hAnsi="Arial"/>
          <w:b/>
          <w:bCs/>
          <w:noProof w:val="0"/>
          <w:rtl/>
        </w:rPr>
        <w:t>עו"ד קשקש</w:t>
      </w:r>
      <w:r>
        <w:rPr>
          <w:rFonts w:ascii="Arial" w:hAnsi="Arial"/>
          <w:noProof w:val="0"/>
          <w:rtl/>
        </w:rPr>
        <w:t xml:space="preserve"> הוא אישר בפגישה שבה נחתמו המסמכים של ההעברה נכחו האב והנתבעת </w:t>
      </w:r>
      <w:r>
        <w:rPr>
          <w:noProof w:val="0"/>
          <w:rtl/>
        </w:rPr>
        <w:t>(ראו: פרוט' מיום 25.5.22, עמ' 83 שורות 3-4).  הוא ציין כי לא ישב עם האב לבד (שורה 32-33). הוא תיאר את מעמד החתימה:</w:t>
      </w:r>
    </w:p>
    <w:p w:rsidR="003B6B3C" w:rsidRDefault="002B4F33" w:rsidP="003B6B3C">
      <w:pPr>
        <w:pStyle w:val="ad"/>
        <w:spacing w:line="360" w:lineRule="auto"/>
        <w:ind w:left="567"/>
        <w:jc w:val="both"/>
        <w:rPr>
          <w:b/>
          <w:bCs/>
          <w:noProof w:val="0"/>
        </w:rPr>
      </w:pPr>
      <w:r>
        <w:rPr>
          <w:noProof w:val="0"/>
          <w:rtl/>
        </w:rPr>
        <w:t>"</w:t>
      </w:r>
      <w:r>
        <w:rPr>
          <w:b/>
          <w:bCs/>
          <w:noProof w:val="0"/>
          <w:rtl/>
        </w:rPr>
        <w:t>ש: הבנתי. תגיד לי, לפני שהמנוח חתם על המסמכים, נתת לו שיקרא אותם בעיון?</w:t>
      </w:r>
    </w:p>
    <w:p w:rsidR="003B6B3C" w:rsidRDefault="002B4F33" w:rsidP="003B6B3C">
      <w:pPr>
        <w:pStyle w:val="ad"/>
        <w:spacing w:line="360" w:lineRule="auto"/>
        <w:ind w:left="567"/>
        <w:jc w:val="both"/>
        <w:rPr>
          <w:noProof w:val="0"/>
          <w:rtl/>
        </w:rPr>
      </w:pPr>
      <w:r>
        <w:rPr>
          <w:b/>
          <w:bCs/>
          <w:noProof w:val="0"/>
          <w:rtl/>
        </w:rPr>
        <w:t>ת: הסברתי לו אותם. המנוח לא ידע קרוא וכתוב, הסברתי לו, הקראתי לו, ווידאתי שזה, מה שנקרא, רצונו, מה אנחנו עושים. הוא ידע לגמרי מה הוא עושה</w:t>
      </w:r>
      <w:r>
        <w:rPr>
          <w:noProof w:val="0"/>
          <w:rtl/>
        </w:rPr>
        <w:t xml:space="preserve">." </w:t>
      </w:r>
    </w:p>
    <w:p w:rsidR="003B6B3C" w:rsidRDefault="002B4F33" w:rsidP="003B6B3C">
      <w:pPr>
        <w:pStyle w:val="ad"/>
        <w:spacing w:line="360" w:lineRule="auto"/>
        <w:ind w:left="567"/>
        <w:jc w:val="both"/>
        <w:rPr>
          <w:noProof w:val="0"/>
          <w:rtl/>
        </w:rPr>
      </w:pPr>
      <w:r>
        <w:rPr>
          <w:noProof w:val="0"/>
          <w:rtl/>
        </w:rPr>
        <w:t>(ראו: פרוט' מיום 25.5.22, עמ' 83 שורות 21-25).</w:t>
      </w:r>
    </w:p>
    <w:p w:rsidR="003B6B3C" w:rsidRDefault="003B6B3C" w:rsidP="003B6B3C">
      <w:pPr>
        <w:pStyle w:val="ad"/>
        <w:spacing w:line="360" w:lineRule="auto"/>
        <w:ind w:left="567"/>
        <w:jc w:val="both"/>
        <w:rPr>
          <w:noProof w:val="0"/>
          <w:rtl/>
        </w:rPr>
      </w:pPr>
    </w:p>
    <w:p w:rsidR="003B6B3C" w:rsidRDefault="002B4F33" w:rsidP="003B6B3C">
      <w:pPr>
        <w:pStyle w:val="ad"/>
        <w:spacing w:line="360" w:lineRule="auto"/>
        <w:ind w:left="567"/>
        <w:jc w:val="both"/>
        <w:rPr>
          <w:noProof w:val="0"/>
          <w:rtl/>
        </w:rPr>
      </w:pPr>
      <w:r>
        <w:rPr>
          <w:noProof w:val="0"/>
          <w:rtl/>
        </w:rPr>
        <w:t>בהמשך החקירה נשאל עו"ד האם ידע כי האב מתגורר עם הנתבעת בדירת המגורים:</w:t>
      </w:r>
    </w:p>
    <w:p w:rsidR="003B6B3C" w:rsidRDefault="002B4F33" w:rsidP="003B6B3C">
      <w:pPr>
        <w:pStyle w:val="ad"/>
        <w:spacing w:line="360" w:lineRule="auto"/>
        <w:ind w:left="567"/>
        <w:jc w:val="both"/>
        <w:rPr>
          <w:b/>
          <w:bCs/>
          <w:noProof w:val="0"/>
          <w:rtl/>
        </w:rPr>
      </w:pPr>
      <w:r>
        <w:rPr>
          <w:b/>
          <w:bCs/>
          <w:noProof w:val="0"/>
          <w:rtl/>
        </w:rPr>
        <w:t xml:space="preserve">"ש: האם ידעת שהמנוח מתגורר </w:t>
      </w:r>
      <w:bookmarkStart w:id="25" w:name="_ETM_Q_3752553"/>
      <w:bookmarkEnd w:id="25"/>
      <w:r>
        <w:rPr>
          <w:b/>
          <w:bCs/>
          <w:noProof w:val="0"/>
          <w:rtl/>
        </w:rPr>
        <w:t>יחד עם הנתבעת באותה דירה ושהיא מטפלת בו?</w:t>
      </w:r>
    </w:p>
    <w:p w:rsidR="003B6B3C" w:rsidRDefault="002B4F33" w:rsidP="003B6B3C">
      <w:pPr>
        <w:pStyle w:val="ad"/>
        <w:spacing w:line="360" w:lineRule="auto"/>
        <w:ind w:left="567"/>
        <w:jc w:val="both"/>
        <w:rPr>
          <w:b/>
          <w:bCs/>
          <w:noProof w:val="0"/>
          <w:rtl/>
        </w:rPr>
      </w:pPr>
      <w:r>
        <w:rPr>
          <w:b/>
          <w:bCs/>
          <w:noProof w:val="0"/>
          <w:rtl/>
        </w:rPr>
        <w:t xml:space="preserve">ת: כן, ידעתי את </w:t>
      </w:r>
      <w:bookmarkStart w:id="26" w:name="_ETM_Q_3757780"/>
      <w:bookmarkEnd w:id="26"/>
      <w:r>
        <w:rPr>
          <w:b/>
          <w:bCs/>
          <w:noProof w:val="0"/>
          <w:rtl/>
        </w:rPr>
        <w:t xml:space="preserve">זה. </w:t>
      </w:r>
    </w:p>
    <w:p w:rsidR="003B6B3C" w:rsidRDefault="002B4F33" w:rsidP="003B6B3C">
      <w:pPr>
        <w:pStyle w:val="ad"/>
        <w:spacing w:line="360" w:lineRule="auto"/>
        <w:ind w:left="567"/>
        <w:jc w:val="both"/>
        <w:rPr>
          <w:b/>
          <w:bCs/>
          <w:noProof w:val="0"/>
          <w:rtl/>
        </w:rPr>
      </w:pPr>
      <w:r>
        <w:rPr>
          <w:b/>
          <w:bCs/>
          <w:noProof w:val="0"/>
          <w:rtl/>
        </w:rPr>
        <w:t>ש: ידעת את זה. ידעת גם שהיא דואגת לו לכל</w:t>
      </w:r>
      <w:bookmarkStart w:id="27" w:name="_ETM_Q_3762433"/>
      <w:bookmarkEnd w:id="27"/>
      <w:r>
        <w:rPr>
          <w:b/>
          <w:bCs/>
          <w:noProof w:val="0"/>
          <w:rtl/>
        </w:rPr>
        <w:t xml:space="preserve"> הצרכים שלו?</w:t>
      </w:r>
    </w:p>
    <w:p w:rsidR="003B6B3C" w:rsidRDefault="002B4F33" w:rsidP="003B6B3C">
      <w:pPr>
        <w:pStyle w:val="ad"/>
        <w:spacing w:line="360" w:lineRule="auto"/>
        <w:ind w:left="567"/>
        <w:jc w:val="both"/>
        <w:rPr>
          <w:b/>
          <w:bCs/>
          <w:noProof w:val="0"/>
          <w:rtl/>
        </w:rPr>
      </w:pPr>
      <w:r>
        <w:rPr>
          <w:b/>
          <w:bCs/>
          <w:noProof w:val="0"/>
          <w:rtl/>
        </w:rPr>
        <w:t>ת: ידעתי שהיא מתגוררת איתו, כן, אפשר לומר. מה</w:t>
      </w:r>
      <w:bookmarkStart w:id="28" w:name="_ETM_Q_3764589"/>
      <w:bookmarkEnd w:id="28"/>
      <w:r>
        <w:rPr>
          <w:b/>
          <w:bCs/>
          <w:noProof w:val="0"/>
          <w:rtl/>
        </w:rPr>
        <w:t xml:space="preserve"> זה דואגת לכל הצרכים? ידעתי שהיא מתגוררת איתו. "</w:t>
      </w:r>
    </w:p>
    <w:p w:rsidR="003B6B3C" w:rsidRDefault="002B4F33" w:rsidP="003B6B3C">
      <w:pPr>
        <w:pStyle w:val="ad"/>
        <w:spacing w:line="360" w:lineRule="auto"/>
        <w:ind w:left="567"/>
        <w:jc w:val="both"/>
        <w:rPr>
          <w:noProof w:val="0"/>
          <w:rtl/>
        </w:rPr>
      </w:pPr>
      <w:r>
        <w:rPr>
          <w:noProof w:val="0"/>
          <w:rtl/>
        </w:rPr>
        <w:t>(ראו: פרוט' מיום 25.5.22, עמ' 84 שורות 34-35, עמ' 84 שורות 1-4).</w:t>
      </w:r>
    </w:p>
    <w:p w:rsidR="003B6B3C" w:rsidRDefault="003B6B3C" w:rsidP="003B6B3C">
      <w:pPr>
        <w:pStyle w:val="ad"/>
        <w:spacing w:line="360" w:lineRule="auto"/>
        <w:ind w:left="567"/>
        <w:jc w:val="both"/>
        <w:rPr>
          <w:b/>
          <w:bCs/>
          <w:noProof w:val="0"/>
        </w:rPr>
      </w:pPr>
    </w:p>
    <w:p w:rsidR="003B6B3C" w:rsidRDefault="002B4F33" w:rsidP="003B6B3C">
      <w:pPr>
        <w:pStyle w:val="ad"/>
        <w:spacing w:line="360" w:lineRule="auto"/>
        <w:ind w:left="567"/>
        <w:jc w:val="both"/>
        <w:rPr>
          <w:noProof w:val="0"/>
          <w:rtl/>
        </w:rPr>
      </w:pPr>
      <w:r>
        <w:rPr>
          <w:noProof w:val="0"/>
          <w:rtl/>
        </w:rPr>
        <w:t xml:space="preserve">קרי למרות שהאב אינו יודע קרוא וכתוב, ולמרות שעו"ד מבין שהאב והנתבעת מתגוררים בדירה נשוא ההעברה ושהנתבעת מתגוררת עימו לא התקיים שיח נפרד עם האב לברר ולוודא את רצונו. </w:t>
      </w:r>
    </w:p>
    <w:p w:rsidR="003B6B3C" w:rsidRDefault="003B6B3C" w:rsidP="003B6B3C">
      <w:pPr>
        <w:pStyle w:val="ad"/>
        <w:spacing w:line="360" w:lineRule="auto"/>
        <w:ind w:left="567"/>
        <w:jc w:val="both"/>
        <w:rPr>
          <w:noProof w:val="0"/>
          <w:rtl/>
        </w:rPr>
      </w:pPr>
    </w:p>
    <w:p w:rsidR="003B6B3C" w:rsidRDefault="002B4F33" w:rsidP="003B6B3C">
      <w:pPr>
        <w:pStyle w:val="ad"/>
        <w:numPr>
          <w:ilvl w:val="0"/>
          <w:numId w:val="3"/>
        </w:numPr>
        <w:spacing w:line="360" w:lineRule="auto"/>
        <w:jc w:val="both"/>
        <w:rPr>
          <w:rFonts w:ascii="Arial" w:hAnsi="Arial"/>
          <w:noProof w:val="0"/>
        </w:rPr>
      </w:pPr>
      <w:r>
        <w:rPr>
          <w:rFonts w:ascii="Arial" w:hAnsi="Arial"/>
          <w:b/>
          <w:bCs/>
          <w:noProof w:val="0"/>
          <w:rtl/>
        </w:rPr>
        <w:t>עו"ד קשקש</w:t>
      </w:r>
      <w:r>
        <w:rPr>
          <w:rFonts w:ascii="Arial" w:hAnsi="Arial"/>
          <w:noProof w:val="0"/>
          <w:rtl/>
        </w:rPr>
        <w:t xml:space="preserve"> נשאל בחקירה האם לא התעוררו לו ספקות לגבי העסקה והשיב שלא: </w:t>
      </w:r>
    </w:p>
    <w:p w:rsidR="003B6B3C" w:rsidRDefault="002B4F33" w:rsidP="003B6B3C">
      <w:pPr>
        <w:pStyle w:val="ad"/>
        <w:spacing w:line="360" w:lineRule="auto"/>
        <w:ind w:left="567"/>
        <w:jc w:val="both"/>
        <w:rPr>
          <w:rFonts w:ascii="Arial" w:hAnsi="Arial"/>
          <w:b/>
          <w:bCs/>
          <w:noProof w:val="0"/>
        </w:rPr>
      </w:pPr>
      <w:r>
        <w:rPr>
          <w:rFonts w:ascii="Arial" w:hAnsi="Arial"/>
          <w:noProof w:val="0"/>
          <w:rtl/>
        </w:rPr>
        <w:t>"</w:t>
      </w:r>
      <w:r>
        <w:rPr>
          <w:rFonts w:ascii="Arial" w:hAnsi="Arial"/>
          <w:b/>
          <w:bCs/>
          <w:noProof w:val="0"/>
          <w:rtl/>
        </w:rPr>
        <w:t>ש: לא. טוב. תראה, אתה באותה פגישה, מגיע אליך אדם מבוגר, שאתה מבין שהוא לא יודע קרוא וכתוב, אתה מבין שהוא מגיע עם הבת שלו, שהם מובילים אותו בעצם אליך למשרד, סברת אולי שיהיה נכון לבקש ממנו איזשהו מסמך רפואי שמראה שהוא כשיר לחתום על המסמכים הללו, שהוא מבין על מה הוא חותם?</w:t>
      </w:r>
    </w:p>
    <w:p w:rsidR="003B6B3C" w:rsidRDefault="002B4F33" w:rsidP="003B6B3C">
      <w:pPr>
        <w:pStyle w:val="ad"/>
        <w:spacing w:line="360" w:lineRule="auto"/>
        <w:ind w:left="567"/>
        <w:jc w:val="both"/>
        <w:rPr>
          <w:rFonts w:ascii="Arial" w:hAnsi="Arial"/>
          <w:b/>
          <w:bCs/>
          <w:noProof w:val="0"/>
          <w:rtl/>
        </w:rPr>
      </w:pPr>
      <w:r>
        <w:rPr>
          <w:rFonts w:ascii="Arial" w:hAnsi="Arial"/>
          <w:b/>
          <w:bCs/>
          <w:noProof w:val="0"/>
          <w:rtl/>
        </w:rPr>
        <w:t>ת: לא, הוא היה, הסברתי לו. ההתרשמות שלי היתה אדם צלול לגמרי, לא, כאילו, זה לא, יצא לי לעשות חוץ מהעסקה הזאת עוד עסקאות מתנה. קורה שהאב נותן לבן או לבת או, לא, לא הרגשתי צורך. ואני יכול להגיד שהוא 100% צלול היה מבחינתי."</w:t>
      </w:r>
    </w:p>
    <w:p w:rsidR="003B6B3C" w:rsidRDefault="002B4F33" w:rsidP="003B6B3C">
      <w:pPr>
        <w:pStyle w:val="ad"/>
        <w:spacing w:line="360" w:lineRule="auto"/>
        <w:ind w:left="567"/>
        <w:jc w:val="both"/>
        <w:rPr>
          <w:noProof w:val="0"/>
          <w:rtl/>
        </w:rPr>
      </w:pPr>
      <w:r>
        <w:rPr>
          <w:noProof w:val="0"/>
          <w:rtl/>
        </w:rPr>
        <w:t>(ראו: פרוט' מיום 25.5.22, עמ' 86 שורות 9-17).</w:t>
      </w:r>
    </w:p>
    <w:p w:rsidR="003B6B3C" w:rsidRDefault="003B6B3C" w:rsidP="003B6B3C">
      <w:pPr>
        <w:pStyle w:val="ad"/>
        <w:spacing w:line="360" w:lineRule="auto"/>
        <w:ind w:left="567"/>
        <w:jc w:val="both"/>
        <w:rPr>
          <w:rFonts w:ascii="Arial" w:hAnsi="Arial"/>
          <w:b/>
          <w:bCs/>
          <w:noProof w:val="0"/>
        </w:rPr>
      </w:pPr>
    </w:p>
    <w:p w:rsidR="003B6B3C" w:rsidRDefault="002B4F33" w:rsidP="003B6B3C">
      <w:pPr>
        <w:pStyle w:val="ad"/>
        <w:spacing w:line="360" w:lineRule="auto"/>
        <w:ind w:left="567"/>
        <w:jc w:val="both"/>
        <w:rPr>
          <w:rFonts w:ascii="Arial" w:hAnsi="Arial"/>
          <w:noProof w:val="0"/>
          <w:rtl/>
        </w:rPr>
      </w:pPr>
      <w:r>
        <w:rPr>
          <w:rFonts w:ascii="Arial" w:hAnsi="Arial"/>
          <w:noProof w:val="0"/>
          <w:rtl/>
        </w:rPr>
        <w:t>עם זאת וכאמור לעיל יש לעשות הבחנה בין כשרות לבין ההשפעה שהיה נתון בה האב.</w:t>
      </w:r>
    </w:p>
    <w:p w:rsidR="003B6B3C" w:rsidRDefault="003B6B3C" w:rsidP="003B6B3C">
      <w:pPr>
        <w:pStyle w:val="ad"/>
        <w:spacing w:line="360" w:lineRule="auto"/>
        <w:ind w:left="567"/>
        <w:jc w:val="both"/>
        <w:rPr>
          <w:rFonts w:ascii="Arial" w:hAnsi="Arial"/>
          <w:noProof w:val="0"/>
          <w:rtl/>
        </w:rPr>
      </w:pPr>
    </w:p>
    <w:p w:rsidR="003B6B3C" w:rsidRDefault="002B4F33" w:rsidP="003B6B3C">
      <w:pPr>
        <w:pStyle w:val="ad"/>
        <w:numPr>
          <w:ilvl w:val="0"/>
          <w:numId w:val="3"/>
        </w:numPr>
        <w:spacing w:line="360" w:lineRule="auto"/>
        <w:jc w:val="both"/>
        <w:rPr>
          <w:rFonts w:ascii="Arial" w:hAnsi="Arial"/>
          <w:noProof w:val="0"/>
          <w:rtl/>
        </w:rPr>
      </w:pPr>
      <w:r>
        <w:rPr>
          <w:rFonts w:ascii="Arial" w:hAnsi="Arial"/>
          <w:noProof w:val="0"/>
          <w:rtl/>
        </w:rPr>
        <w:t xml:space="preserve">בסופו של יום חקירת עו"ד תיארה את מעמד החתימה ותו לא. אין די במעמד חתימה אלא יש לבחון את כלל הנסיבות. התיאור של עו"ד לא חיזק את טענות הנתבעים על כשרות ההעברה. נהפוך הוא – העובדה כי האב לא שוחח לבדו עם עו"ד, גילו של האב והעובדה שלא ידע קרוא </w:t>
      </w:r>
      <w:r>
        <w:rPr>
          <w:rFonts w:ascii="Arial" w:hAnsi="Arial"/>
          <w:noProof w:val="0"/>
          <w:rtl/>
        </w:rPr>
        <w:lastRenderedPageBreak/>
        <w:t xml:space="preserve">וכתוב, אין תיעוד של המפגש או תרשומת שלו, אין בירור של מצבו הכלכלי של האב ומה המשמעות של העברת הדירה מבחינתו, אין בדיקה שלו בנפרד מה עמדתו במרקם המשפחתי – כל זאת מטילים צל על ביצוע ההעברה שמצטרף לשאר הנסיבות וההוכחות על התלות וההשפעה של הנתבעים על האב.  </w:t>
      </w:r>
    </w:p>
    <w:p w:rsidR="003B6B3C" w:rsidRDefault="003B6B3C" w:rsidP="003B6B3C">
      <w:pPr>
        <w:pStyle w:val="ad"/>
        <w:spacing w:line="360" w:lineRule="auto"/>
        <w:ind w:left="567"/>
        <w:jc w:val="both"/>
        <w:rPr>
          <w:rFonts w:ascii="Arial" w:hAnsi="Arial"/>
          <w:noProof w:val="0"/>
          <w:color w:val="FF0000"/>
          <w:rtl/>
        </w:rPr>
      </w:pPr>
    </w:p>
    <w:p w:rsidR="003B6B3C" w:rsidRDefault="002B4F33" w:rsidP="003B6B3C">
      <w:pPr>
        <w:pStyle w:val="ad"/>
        <w:numPr>
          <w:ilvl w:val="0"/>
          <w:numId w:val="3"/>
        </w:numPr>
        <w:spacing w:line="360" w:lineRule="auto"/>
        <w:jc w:val="both"/>
      </w:pPr>
      <w:r>
        <w:rPr>
          <w:b/>
          <w:bCs/>
          <w:rtl/>
        </w:rPr>
        <w:t>התובע 4</w:t>
      </w:r>
      <w:r>
        <w:rPr>
          <w:rtl/>
        </w:rPr>
        <w:t xml:space="preserve"> ציין בחקירתו פרטים נוספים על נסיבות ההעברה המעידות על הלחץ ועל ההשפעה של הנתבעים על האב, וציין כי נכח באותו יום ובמשרד עו"ד:</w:t>
      </w:r>
    </w:p>
    <w:p w:rsidR="003B6B3C" w:rsidRDefault="002B4F33" w:rsidP="003B6B3C">
      <w:pPr>
        <w:pStyle w:val="ad"/>
        <w:spacing w:line="360" w:lineRule="auto"/>
        <w:ind w:left="567"/>
        <w:jc w:val="both"/>
        <w:rPr>
          <w:b/>
          <w:bCs/>
          <w:noProof w:val="0"/>
        </w:rPr>
      </w:pPr>
      <w:r>
        <w:rPr>
          <w:noProof w:val="0"/>
          <w:rtl/>
        </w:rPr>
        <w:t>"</w:t>
      </w:r>
      <w:r>
        <w:rPr>
          <w:b/>
          <w:bCs/>
          <w:noProof w:val="0"/>
          <w:rtl/>
        </w:rPr>
        <w:t xml:space="preserve">ש: הבנתי. ואיך אתה יודע שאבא נתן את הדירה שלו במתנה </w:t>
      </w:r>
      <w:r w:rsidR="00DE3526">
        <w:rPr>
          <w:rFonts w:hint="cs"/>
          <w:b/>
          <w:bCs/>
          <w:noProof w:val="0"/>
          <w:rtl/>
        </w:rPr>
        <w:t xml:space="preserve">ל*** </w:t>
      </w:r>
      <w:r>
        <w:rPr>
          <w:b/>
          <w:bCs/>
          <w:noProof w:val="0"/>
          <w:rtl/>
        </w:rPr>
        <w:t xml:space="preserve">? </w:t>
      </w:r>
    </w:p>
    <w:p w:rsidR="003B6B3C" w:rsidRDefault="002B4F33" w:rsidP="003B6B3C">
      <w:pPr>
        <w:pStyle w:val="ad"/>
        <w:spacing w:line="360" w:lineRule="auto"/>
        <w:ind w:left="567"/>
        <w:jc w:val="both"/>
        <w:rPr>
          <w:b/>
          <w:bCs/>
          <w:noProof w:val="0"/>
          <w:rtl/>
        </w:rPr>
      </w:pPr>
      <w:r>
        <w:rPr>
          <w:b/>
          <w:bCs/>
          <w:noProof w:val="0"/>
          <w:rtl/>
        </w:rPr>
        <w:t xml:space="preserve">ת: אני הייתי שם. </w:t>
      </w:r>
    </w:p>
    <w:p w:rsidR="003B6B3C" w:rsidRDefault="002B4F33" w:rsidP="003B6B3C">
      <w:pPr>
        <w:pStyle w:val="ad"/>
        <w:spacing w:line="360" w:lineRule="auto"/>
        <w:ind w:left="567"/>
        <w:jc w:val="both"/>
        <w:rPr>
          <w:b/>
          <w:bCs/>
          <w:noProof w:val="0"/>
          <w:rtl/>
        </w:rPr>
      </w:pPr>
      <w:r>
        <w:rPr>
          <w:b/>
          <w:bCs/>
          <w:noProof w:val="0"/>
          <w:rtl/>
        </w:rPr>
        <w:t xml:space="preserve">ש: היית שם? מה זה היית שם? </w:t>
      </w:r>
    </w:p>
    <w:p w:rsidR="003B6B3C" w:rsidRDefault="002B4F33" w:rsidP="00DE3526">
      <w:pPr>
        <w:pStyle w:val="ad"/>
        <w:spacing w:line="360" w:lineRule="auto"/>
        <w:ind w:left="567"/>
        <w:jc w:val="both"/>
        <w:rPr>
          <w:noProof w:val="0"/>
          <w:rtl/>
        </w:rPr>
      </w:pPr>
      <w:r>
        <w:rPr>
          <w:b/>
          <w:bCs/>
          <w:noProof w:val="0"/>
          <w:rtl/>
        </w:rPr>
        <w:t xml:space="preserve">ת: הייתי, </w:t>
      </w:r>
      <w:r>
        <w:rPr>
          <w:b/>
          <w:bCs/>
          <w:noProof w:val="0"/>
          <w:u w:val="single"/>
          <w:rtl/>
        </w:rPr>
        <w:t xml:space="preserve">הייתי באותו היום, הייתי בבית עם אבא שלי ועם אחותי וגיסי, </w:t>
      </w:r>
      <w:r w:rsidR="00DE3526">
        <w:rPr>
          <w:rFonts w:hint="cs"/>
          <w:b/>
          <w:bCs/>
          <w:noProof w:val="0"/>
          <w:u w:val="single"/>
          <w:rtl/>
        </w:rPr>
        <w:t>***</w:t>
      </w:r>
      <w:r>
        <w:rPr>
          <w:b/>
          <w:bCs/>
          <w:noProof w:val="0"/>
          <w:u w:val="single"/>
          <w:rtl/>
        </w:rPr>
        <w:t xml:space="preserve">, הייתי בדירה, </w:t>
      </w:r>
      <w:r w:rsidR="005A2E42">
        <w:rPr>
          <w:b/>
          <w:bCs/>
          <w:noProof w:val="0"/>
          <w:u w:val="single"/>
          <w:rtl/>
        </w:rPr>
        <w:t>ו</w:t>
      </w:r>
      <w:r w:rsidR="00DE3526">
        <w:rPr>
          <w:rFonts w:hint="cs"/>
          <w:b/>
          <w:bCs/>
          <w:noProof w:val="0"/>
          <w:u w:val="single"/>
          <w:rtl/>
        </w:rPr>
        <w:t>***</w:t>
      </w:r>
      <w:r w:rsidR="005A2E42">
        <w:rPr>
          <w:b/>
          <w:bCs/>
          <w:noProof w:val="0"/>
          <w:u w:val="single"/>
          <w:rtl/>
        </w:rPr>
        <w:t xml:space="preserve"> </w:t>
      </w:r>
      <w:r>
        <w:rPr>
          <w:b/>
          <w:bCs/>
          <w:noProof w:val="0"/>
          <w:u w:val="single"/>
          <w:rtl/>
        </w:rPr>
        <w:t xml:space="preserve">ואחותי </w:t>
      </w:r>
      <w:r w:rsidR="00DE3526">
        <w:rPr>
          <w:rFonts w:hint="cs"/>
          <w:b/>
          <w:bCs/>
          <w:noProof w:val="0"/>
          <w:u w:val="single"/>
          <w:rtl/>
        </w:rPr>
        <w:t xml:space="preserve">*** </w:t>
      </w:r>
      <w:r>
        <w:rPr>
          <w:b/>
          <w:bCs/>
          <w:noProof w:val="0"/>
          <w:u w:val="single"/>
          <w:rtl/>
        </w:rPr>
        <w:t>, אמרו לאבא שלי מהר 'בואו נלך מהר לפני שייקחו לך את הבית, בואו נלך לעורך דין', צלצלו לבן שלהם הגדול, 'תקבע עם עורך דין בתל אביב, אנחנו באים, תקבע איתו מהר' ולקחו אותי גם. נסענו עם מונית לעורך דין, הם היו מוכנים כבר עם הכל, עם כל הספח הם היו מוכנים, שאבא שלי רק היה צריך לחתום</w:t>
      </w:r>
      <w:r>
        <w:rPr>
          <w:b/>
          <w:bCs/>
          <w:noProof w:val="0"/>
          <w:rtl/>
        </w:rPr>
        <w:t xml:space="preserve">, אבל הוא אמר לאחותי ולגיסי 'אני רק מזכיר דבר אחד: עם </w:t>
      </w:r>
      <w:r w:rsidR="00DE3526">
        <w:rPr>
          <w:rFonts w:hint="cs"/>
          <w:b/>
          <w:bCs/>
          <w:noProof w:val="0"/>
          <w:rtl/>
        </w:rPr>
        <w:t>***</w:t>
      </w:r>
      <w:r>
        <w:rPr>
          <w:b/>
          <w:bCs/>
          <w:noProof w:val="0"/>
          <w:rtl/>
        </w:rPr>
        <w:t xml:space="preserve">, </w:t>
      </w:r>
      <w:r w:rsidR="00DE3526">
        <w:rPr>
          <w:rFonts w:hint="cs"/>
          <w:b/>
          <w:bCs/>
          <w:noProof w:val="0"/>
          <w:rtl/>
        </w:rPr>
        <w:t xml:space="preserve">*** </w:t>
      </w:r>
      <w:r>
        <w:rPr>
          <w:b/>
          <w:bCs/>
          <w:noProof w:val="0"/>
          <w:rtl/>
        </w:rPr>
        <w:t>, אין לי כלום. אני רק, הוא פשוט, הוא בן אדם לא הכי בסדר, הוא, יש לו בעיות שלו, לא משנה איזה בעיות, אני מבקש שתעזרו לו, תתנו לו את המקום שלו, שיגור בו'</w:t>
      </w:r>
      <w:r>
        <w:rPr>
          <w:noProof w:val="0"/>
          <w:rtl/>
        </w:rPr>
        <w:t xml:space="preserve">." (ההדגשה בקו – הוספה). </w:t>
      </w:r>
    </w:p>
    <w:p w:rsidR="003B6B3C" w:rsidRDefault="002B4F33" w:rsidP="003B6B3C">
      <w:pPr>
        <w:pStyle w:val="ad"/>
        <w:spacing w:line="360" w:lineRule="auto"/>
        <w:ind w:left="567"/>
        <w:jc w:val="both"/>
        <w:rPr>
          <w:rtl/>
        </w:rPr>
      </w:pPr>
      <w:r>
        <w:rPr>
          <w:noProof w:val="0"/>
          <w:rtl/>
        </w:rPr>
        <w:t>(ראו: פרוט' מיום 25.5.22, עמ' 57 שורות 10-22).</w:t>
      </w:r>
    </w:p>
    <w:p w:rsidR="003B6B3C" w:rsidRDefault="003B6B3C" w:rsidP="003B6B3C">
      <w:pPr>
        <w:pStyle w:val="ad"/>
        <w:rPr>
          <w:rFonts w:ascii="David" w:hAnsi="David"/>
        </w:rPr>
      </w:pPr>
    </w:p>
    <w:p w:rsidR="003B6B3C" w:rsidRDefault="002B4F33" w:rsidP="003B6B3C">
      <w:pPr>
        <w:pStyle w:val="ad"/>
        <w:numPr>
          <w:ilvl w:val="0"/>
          <w:numId w:val="3"/>
        </w:numPr>
        <w:spacing w:line="360" w:lineRule="auto"/>
        <w:jc w:val="both"/>
        <w:rPr>
          <w:rtl/>
        </w:rPr>
      </w:pPr>
      <w:r>
        <w:rPr>
          <w:rtl/>
        </w:rPr>
        <w:t xml:space="preserve">גם בהמשך החקירה פירט </w:t>
      </w:r>
      <w:r>
        <w:rPr>
          <w:b/>
          <w:bCs/>
          <w:rtl/>
        </w:rPr>
        <w:t>התובע 4</w:t>
      </w:r>
      <w:r>
        <w:rPr>
          <w:rtl/>
        </w:rPr>
        <w:t xml:space="preserve"> את ההתנהלות שהייהת באותו יום של ההעברה בה נכח בין הנתבעים לאב:</w:t>
      </w:r>
    </w:p>
    <w:p w:rsidR="003B6B3C" w:rsidRDefault="002B4F33" w:rsidP="003B6B3C">
      <w:pPr>
        <w:pStyle w:val="ad"/>
        <w:spacing w:line="360" w:lineRule="auto"/>
        <w:ind w:left="567"/>
        <w:jc w:val="both"/>
      </w:pPr>
      <w:r>
        <w:rPr>
          <w:rFonts w:ascii="Arial" w:hAnsi="Arial"/>
          <w:b/>
          <w:bCs/>
          <w:rtl/>
        </w:rPr>
        <w:t xml:space="preserve">"מה שאני יודע, </w:t>
      </w:r>
      <w:r>
        <w:rPr>
          <w:rFonts w:ascii="Arial" w:hAnsi="Arial"/>
          <w:b/>
          <w:bCs/>
          <w:u w:val="single"/>
          <w:rtl/>
        </w:rPr>
        <w:t xml:space="preserve">הוא שכנע אותו 'בוא </w:t>
      </w:r>
      <w:bookmarkStart w:id="29" w:name="_ETM_Q_979294"/>
      <w:bookmarkEnd w:id="29"/>
      <w:r>
        <w:rPr>
          <w:rFonts w:ascii="Arial" w:hAnsi="Arial"/>
          <w:b/>
          <w:bCs/>
          <w:u w:val="single"/>
          <w:rtl/>
        </w:rPr>
        <w:t xml:space="preserve">מהר לעורך דין, בשביל שנחתום, שלא ייקחו פה, תעשה את </w:t>
      </w:r>
      <w:bookmarkStart w:id="30" w:name="_ETM_Q_984258"/>
      <w:bookmarkEnd w:id="30"/>
      <w:r>
        <w:rPr>
          <w:rFonts w:ascii="Arial" w:hAnsi="Arial"/>
          <w:b/>
          <w:bCs/>
          <w:u w:val="single"/>
          <w:rtl/>
        </w:rPr>
        <w:t>הכל על שמנו'</w:t>
      </w:r>
      <w:r>
        <w:rPr>
          <w:rFonts w:ascii="Arial" w:hAnsi="Arial"/>
          <w:b/>
          <w:bCs/>
          <w:rtl/>
        </w:rPr>
        <w:t xml:space="preserve">, אני זוכר את היום הזה, אני הייתי </w:t>
      </w:r>
      <w:bookmarkStart w:id="31" w:name="_ETM_Q_986663"/>
      <w:bookmarkEnd w:id="31"/>
      <w:r>
        <w:rPr>
          <w:rFonts w:ascii="Arial" w:hAnsi="Arial"/>
          <w:b/>
          <w:bCs/>
          <w:rtl/>
        </w:rPr>
        <w:t xml:space="preserve">בבית. </w:t>
      </w:r>
      <w:r>
        <w:rPr>
          <w:rFonts w:ascii="Arial" w:hAnsi="Arial"/>
          <w:b/>
          <w:bCs/>
          <w:u w:val="single"/>
          <w:rtl/>
        </w:rPr>
        <w:t xml:space="preserve">'בוא תעשה ממש מהר את הכל על השם שלנו, </w:t>
      </w:r>
      <w:bookmarkStart w:id="32" w:name="_ETM_Q_993693"/>
      <w:bookmarkEnd w:id="32"/>
      <w:r>
        <w:rPr>
          <w:rFonts w:ascii="Arial" w:hAnsi="Arial"/>
          <w:b/>
          <w:bCs/>
          <w:u w:val="single"/>
          <w:rtl/>
        </w:rPr>
        <w:t xml:space="preserve">לפני שהילדים שלך יבואו וייקחו את הבית', הוא היה אומר </w:t>
      </w:r>
      <w:bookmarkStart w:id="33" w:name="_ETM_Q_997722"/>
      <w:bookmarkEnd w:id="33"/>
      <w:r>
        <w:rPr>
          <w:rFonts w:ascii="Arial" w:hAnsi="Arial"/>
          <w:b/>
          <w:bCs/>
          <w:u w:val="single"/>
          <w:rtl/>
        </w:rPr>
        <w:t xml:space="preserve">'לא, אבל יש לי ילדים, אני רוצה שהכל יתחלק </w:t>
      </w:r>
      <w:bookmarkStart w:id="34" w:name="_ETM_Q_1001460"/>
      <w:bookmarkEnd w:id="34"/>
      <w:r>
        <w:rPr>
          <w:rFonts w:ascii="Arial" w:hAnsi="Arial"/>
          <w:b/>
          <w:bCs/>
          <w:u w:val="single"/>
          <w:rtl/>
        </w:rPr>
        <w:t xml:space="preserve">בין הילדים', אז הם אמרו 'לא, הילדים שלך גנבים, הם </w:t>
      </w:r>
      <w:bookmarkStart w:id="35" w:name="_ETM_Q_1005768"/>
      <w:bookmarkEnd w:id="35"/>
      <w:r>
        <w:rPr>
          <w:rFonts w:ascii="Arial" w:hAnsi="Arial"/>
          <w:b/>
          <w:bCs/>
          <w:u w:val="single"/>
          <w:rtl/>
        </w:rPr>
        <w:t xml:space="preserve">רוצים את הכסף שלך והכל וזה, וראית, הם גנבו ממך </w:t>
      </w:r>
      <w:bookmarkStart w:id="36" w:name="_ETM_Q_1010739"/>
      <w:bookmarkEnd w:id="36"/>
      <w:r>
        <w:rPr>
          <w:rFonts w:ascii="Arial" w:hAnsi="Arial"/>
          <w:b/>
          <w:bCs/>
          <w:u w:val="single"/>
          <w:rtl/>
        </w:rPr>
        <w:t xml:space="preserve">והכל', ואני ראיתי גם איך שהם היו לוקחים ממנו את </w:t>
      </w:r>
      <w:bookmarkStart w:id="37" w:name="_ETM_Q_1014788"/>
      <w:bookmarkEnd w:id="37"/>
      <w:r>
        <w:rPr>
          <w:rFonts w:ascii="Arial" w:hAnsi="Arial"/>
          <w:b/>
          <w:bCs/>
          <w:u w:val="single"/>
          <w:rtl/>
        </w:rPr>
        <w:t>הכסף ומה שהיה צריך</w:t>
      </w:r>
      <w:r>
        <w:rPr>
          <w:rFonts w:ascii="Arial" w:hAnsi="Arial"/>
          <w:b/>
          <w:bCs/>
          <w:rtl/>
        </w:rPr>
        <w:t xml:space="preserve">. כל הכסף היה עובר להם, אם </w:t>
      </w:r>
      <w:bookmarkStart w:id="38" w:name="_ETM_Q_1022466"/>
      <w:bookmarkEnd w:id="38"/>
      <w:r>
        <w:rPr>
          <w:rFonts w:ascii="Arial" w:hAnsi="Arial"/>
          <w:b/>
          <w:bCs/>
          <w:rtl/>
        </w:rPr>
        <w:t xml:space="preserve">זה זקנה ואם זה, לא יודע מה שהוא היה </w:t>
      </w:r>
      <w:bookmarkStart w:id="39" w:name="_ETM_Q_1026237"/>
      <w:bookmarkEnd w:id="39"/>
      <w:r>
        <w:rPr>
          <w:rFonts w:ascii="Arial" w:hAnsi="Arial"/>
          <w:b/>
          <w:bCs/>
          <w:rtl/>
        </w:rPr>
        <w:t>צריך לקבל, היה עובר להם, ליד שלהם. [..]"</w:t>
      </w:r>
      <w:r>
        <w:rPr>
          <w:b/>
          <w:bCs/>
          <w:rtl/>
        </w:rPr>
        <w:t xml:space="preserve">. </w:t>
      </w:r>
      <w:r>
        <w:rPr>
          <w:rtl/>
        </w:rPr>
        <w:t>(ההדגשות בקו – הוספו).</w:t>
      </w:r>
    </w:p>
    <w:p w:rsidR="003B6B3C" w:rsidRDefault="002B4F33" w:rsidP="003B6B3C">
      <w:pPr>
        <w:pStyle w:val="ad"/>
        <w:spacing w:line="360" w:lineRule="auto"/>
        <w:ind w:left="567"/>
        <w:jc w:val="both"/>
      </w:pPr>
      <w:r>
        <w:rPr>
          <w:noProof w:val="0"/>
          <w:rtl/>
        </w:rPr>
        <w:t>(ראו: פרוט' מיום 25.5.22, עמ' 59 שורות 25-33).</w:t>
      </w:r>
    </w:p>
    <w:p w:rsidR="003B6B3C" w:rsidRDefault="003B6B3C" w:rsidP="003B6B3C">
      <w:pPr>
        <w:pStyle w:val="ad"/>
        <w:spacing w:line="360" w:lineRule="auto"/>
        <w:ind w:left="567"/>
        <w:jc w:val="both"/>
      </w:pPr>
    </w:p>
    <w:p w:rsidR="003B6B3C" w:rsidRDefault="002B4F33" w:rsidP="003B6B3C">
      <w:pPr>
        <w:pStyle w:val="ad"/>
        <w:numPr>
          <w:ilvl w:val="0"/>
          <w:numId w:val="3"/>
        </w:numPr>
        <w:spacing w:line="360" w:lineRule="auto"/>
        <w:jc w:val="both"/>
        <w:rPr>
          <w:rtl/>
        </w:rPr>
      </w:pPr>
      <w:r>
        <w:rPr>
          <w:b/>
          <w:bCs/>
          <w:rtl/>
        </w:rPr>
        <w:t>הנתבעת</w:t>
      </w:r>
      <w:r>
        <w:rPr>
          <w:rtl/>
        </w:rPr>
        <w:t xml:space="preserve"> נשאלה לגבי מעמד החתימה על מסמכי ההעברה ותשובותיה הותירו רושם של תשובות שטחיות וללא העמקה בפרטים. גם היא קשרה בין העברת המגרשים להעברת הדירה על שמה:</w:t>
      </w:r>
    </w:p>
    <w:p w:rsidR="003B6B3C" w:rsidRDefault="002B4F33" w:rsidP="003B6B3C">
      <w:pPr>
        <w:pStyle w:val="ad"/>
        <w:spacing w:line="360" w:lineRule="auto"/>
        <w:ind w:left="567"/>
        <w:jc w:val="both"/>
        <w:rPr>
          <w:rFonts w:ascii="Arial" w:hAnsi="Arial"/>
          <w:b/>
          <w:bCs/>
          <w:rtl/>
        </w:rPr>
      </w:pPr>
      <w:r>
        <w:rPr>
          <w:rFonts w:ascii="Arial" w:hAnsi="Arial"/>
          <w:b/>
          <w:bCs/>
          <w:rtl/>
        </w:rPr>
        <w:t xml:space="preserve">"ש: אני אשאל את השאלה שוב: כשהדירה עברה </w:t>
      </w:r>
      <w:bookmarkStart w:id="40" w:name="_ETM_Q_8514897"/>
      <w:bookmarkEnd w:id="40"/>
      <w:r>
        <w:rPr>
          <w:rFonts w:ascii="Arial" w:hAnsi="Arial"/>
          <w:b/>
          <w:bCs/>
          <w:rtl/>
        </w:rPr>
        <w:t>לבעלותך, ונחתמו המסמכים של העברת הבעלות, אז הוא כן</w:t>
      </w:r>
      <w:bookmarkStart w:id="41" w:name="_ETM_Q_8520384"/>
      <w:bookmarkEnd w:id="41"/>
      <w:r>
        <w:rPr>
          <w:rFonts w:ascii="Arial" w:hAnsi="Arial"/>
          <w:b/>
          <w:bCs/>
          <w:rtl/>
        </w:rPr>
        <w:t xml:space="preserve"> הבין? </w:t>
      </w:r>
    </w:p>
    <w:p w:rsidR="003B6B3C" w:rsidRDefault="002B4F33" w:rsidP="003B6B3C">
      <w:pPr>
        <w:pStyle w:val="ad"/>
        <w:spacing w:line="360" w:lineRule="auto"/>
        <w:ind w:left="567"/>
        <w:jc w:val="both"/>
        <w:rPr>
          <w:rFonts w:ascii="Arial" w:hAnsi="Arial"/>
          <w:b/>
          <w:bCs/>
          <w:rtl/>
        </w:rPr>
      </w:pPr>
      <w:r>
        <w:rPr>
          <w:rFonts w:ascii="Arial" w:hAnsi="Arial"/>
          <w:b/>
          <w:bCs/>
          <w:rtl/>
        </w:rPr>
        <w:lastRenderedPageBreak/>
        <w:t>ת: בטח שהוא הבין.</w:t>
      </w:r>
    </w:p>
    <w:p w:rsidR="003B6B3C" w:rsidRDefault="002B4F33" w:rsidP="003B6B3C">
      <w:pPr>
        <w:pStyle w:val="ad"/>
        <w:spacing w:line="360" w:lineRule="auto"/>
        <w:ind w:left="567"/>
        <w:jc w:val="both"/>
        <w:rPr>
          <w:rFonts w:ascii="Arial" w:hAnsi="Arial"/>
          <w:b/>
          <w:bCs/>
          <w:rtl/>
        </w:rPr>
      </w:pPr>
      <w:r>
        <w:rPr>
          <w:rFonts w:ascii="Arial" w:hAnsi="Arial"/>
          <w:b/>
          <w:bCs/>
          <w:rtl/>
        </w:rPr>
        <w:t xml:space="preserve">ש: את הסברת לו? </w:t>
      </w:r>
    </w:p>
    <w:p w:rsidR="003B6B3C" w:rsidRDefault="002B4F33" w:rsidP="003B6B3C">
      <w:pPr>
        <w:pStyle w:val="ad"/>
        <w:spacing w:line="360" w:lineRule="auto"/>
        <w:ind w:left="567"/>
        <w:jc w:val="both"/>
        <w:rPr>
          <w:rFonts w:ascii="Arial" w:hAnsi="Arial"/>
          <w:b/>
          <w:bCs/>
          <w:rtl/>
        </w:rPr>
      </w:pPr>
      <w:r>
        <w:rPr>
          <w:rFonts w:ascii="Arial" w:hAnsi="Arial"/>
          <w:b/>
          <w:bCs/>
          <w:rtl/>
        </w:rPr>
        <w:t>ת: בטח. אני הסברתי, אבל</w:t>
      </w:r>
      <w:bookmarkStart w:id="42" w:name="_ETM_Q_8527078"/>
      <w:bookmarkEnd w:id="42"/>
      <w:r>
        <w:rPr>
          <w:rFonts w:ascii="Arial" w:hAnsi="Arial"/>
          <w:b/>
          <w:bCs/>
          <w:rtl/>
        </w:rPr>
        <w:t xml:space="preserve"> הם עשו ברמאות. </w:t>
      </w:r>
    </w:p>
    <w:p w:rsidR="003B6B3C" w:rsidRDefault="002B4F33" w:rsidP="003B6B3C">
      <w:pPr>
        <w:pStyle w:val="ad"/>
        <w:spacing w:line="360" w:lineRule="auto"/>
        <w:ind w:left="567"/>
        <w:jc w:val="both"/>
        <w:rPr>
          <w:rFonts w:ascii="Arial" w:hAnsi="Arial"/>
          <w:b/>
          <w:bCs/>
          <w:rtl/>
        </w:rPr>
      </w:pPr>
      <w:r>
        <w:rPr>
          <w:rFonts w:ascii="Arial" w:hAnsi="Arial"/>
          <w:b/>
          <w:bCs/>
          <w:rtl/>
        </w:rPr>
        <w:t>ש: הבנתי. בפגישה הזאתי, כשהייתם אצל עורך</w:t>
      </w:r>
      <w:bookmarkStart w:id="43" w:name="_ETM_Q_8530631"/>
      <w:bookmarkEnd w:id="43"/>
      <w:r>
        <w:rPr>
          <w:rFonts w:ascii="Arial" w:hAnsi="Arial"/>
          <w:b/>
          <w:bCs/>
          <w:rtl/>
        </w:rPr>
        <w:t xml:space="preserve"> הדין שהכין את המסמכים, את ישבת עם האבא והסברת לו</w:t>
      </w:r>
      <w:bookmarkStart w:id="44" w:name="_ETM_Q_8535288"/>
      <w:bookmarkEnd w:id="44"/>
      <w:r>
        <w:rPr>
          <w:rFonts w:ascii="Arial" w:hAnsi="Arial"/>
          <w:b/>
          <w:bCs/>
          <w:rtl/>
        </w:rPr>
        <w:t xml:space="preserve"> על מה הוא חותם?</w:t>
      </w:r>
    </w:p>
    <w:p w:rsidR="003B6B3C" w:rsidRDefault="002B4F33" w:rsidP="003B6B3C">
      <w:pPr>
        <w:pStyle w:val="ad"/>
        <w:spacing w:line="360" w:lineRule="auto"/>
        <w:ind w:left="567"/>
        <w:jc w:val="both"/>
        <w:rPr>
          <w:rFonts w:ascii="Arial" w:hAnsi="Arial"/>
          <w:b/>
          <w:bCs/>
          <w:rtl/>
        </w:rPr>
      </w:pPr>
      <w:r>
        <w:rPr>
          <w:rFonts w:ascii="Arial" w:hAnsi="Arial"/>
          <w:b/>
          <w:bCs/>
          <w:rtl/>
        </w:rPr>
        <w:t xml:space="preserve">ת: גם אחי </w:t>
      </w:r>
      <w:r w:rsidR="00F53B8E">
        <w:rPr>
          <w:rFonts w:ascii="Arial" w:hAnsi="Arial" w:hint="cs"/>
          <w:b/>
          <w:bCs/>
          <w:rtl/>
        </w:rPr>
        <w:t xml:space="preserve">*** </w:t>
      </w:r>
      <w:r>
        <w:rPr>
          <w:rFonts w:ascii="Arial" w:hAnsi="Arial"/>
          <w:b/>
          <w:bCs/>
          <w:rtl/>
        </w:rPr>
        <w:t xml:space="preserve">היה. </w:t>
      </w:r>
    </w:p>
    <w:p w:rsidR="003B6B3C" w:rsidRDefault="002B4F33" w:rsidP="003B6B3C">
      <w:pPr>
        <w:pStyle w:val="ad"/>
        <w:spacing w:line="360" w:lineRule="auto"/>
        <w:ind w:left="567"/>
        <w:jc w:val="both"/>
        <w:rPr>
          <w:rFonts w:ascii="Arial" w:hAnsi="Arial"/>
          <w:b/>
          <w:bCs/>
          <w:rtl/>
        </w:rPr>
      </w:pPr>
      <w:r>
        <w:rPr>
          <w:rFonts w:ascii="Arial" w:hAnsi="Arial"/>
          <w:b/>
          <w:bCs/>
          <w:rtl/>
        </w:rPr>
        <w:t>ש: ואז הסברת</w:t>
      </w:r>
      <w:bookmarkStart w:id="45" w:name="_ETM_Q_8538634"/>
      <w:bookmarkEnd w:id="45"/>
      <w:r>
        <w:rPr>
          <w:rFonts w:ascii="Arial" w:hAnsi="Arial"/>
          <w:b/>
          <w:bCs/>
          <w:rtl/>
        </w:rPr>
        <w:t xml:space="preserve"> לאבא על מה הוא חותם? </w:t>
      </w:r>
    </w:p>
    <w:p w:rsidR="003B6B3C" w:rsidRDefault="002B4F33" w:rsidP="003B6B3C">
      <w:pPr>
        <w:pStyle w:val="ad"/>
        <w:spacing w:line="360" w:lineRule="auto"/>
        <w:ind w:left="567"/>
        <w:jc w:val="both"/>
        <w:rPr>
          <w:rFonts w:ascii="Arial" w:hAnsi="Arial"/>
          <w:b/>
          <w:bCs/>
          <w:rtl/>
        </w:rPr>
      </w:pPr>
      <w:r>
        <w:rPr>
          <w:rFonts w:ascii="Arial" w:hAnsi="Arial"/>
          <w:b/>
          <w:bCs/>
          <w:rtl/>
        </w:rPr>
        <w:t>ת: לא, עורך הדין הסביר לו,</w:t>
      </w:r>
      <w:bookmarkStart w:id="46" w:name="_ETM_Q_8541800"/>
      <w:bookmarkEnd w:id="46"/>
      <w:r>
        <w:rPr>
          <w:rFonts w:ascii="Arial" w:hAnsi="Arial"/>
          <w:b/>
          <w:bCs/>
          <w:rtl/>
        </w:rPr>
        <w:t xml:space="preserve"> וברגע שהוא אמר 'אני לא יודע לקרוא ולכתוב', עורך </w:t>
      </w:r>
      <w:bookmarkStart w:id="47" w:name="_ETM_Q_8545879"/>
      <w:bookmarkEnd w:id="47"/>
      <w:r>
        <w:rPr>
          <w:rFonts w:ascii="Arial" w:hAnsi="Arial"/>
          <w:b/>
          <w:bCs/>
          <w:rtl/>
        </w:rPr>
        <w:t xml:space="preserve">הדין תפס את זה, קרא את זה, הסביר לאבא שלי, </w:t>
      </w:r>
      <w:bookmarkStart w:id="48" w:name="_ETM_Q_8547682"/>
      <w:bookmarkEnd w:id="48"/>
      <w:r>
        <w:rPr>
          <w:rFonts w:ascii="Arial" w:hAnsi="Arial"/>
          <w:b/>
          <w:bCs/>
          <w:rtl/>
        </w:rPr>
        <w:t>אבא שלי הבין טוב מאוד וחתם."</w:t>
      </w:r>
    </w:p>
    <w:p w:rsidR="003B6B3C" w:rsidRDefault="002B4F33" w:rsidP="003B6B3C">
      <w:pPr>
        <w:pStyle w:val="ad"/>
        <w:spacing w:line="360" w:lineRule="auto"/>
        <w:ind w:left="567"/>
        <w:jc w:val="both"/>
        <w:rPr>
          <w:noProof w:val="0"/>
          <w:rtl/>
        </w:rPr>
      </w:pPr>
      <w:r>
        <w:rPr>
          <w:noProof w:val="0"/>
          <w:rtl/>
        </w:rPr>
        <w:t>(ראו: פרוט' מיום 25.5.22, עמ' 132 שורות 34-35, עמ' 133 שורות 1-10).</w:t>
      </w:r>
    </w:p>
    <w:p w:rsidR="003B6B3C" w:rsidRDefault="003B6B3C" w:rsidP="003B6B3C">
      <w:pPr>
        <w:pStyle w:val="ad"/>
        <w:spacing w:line="360" w:lineRule="auto"/>
        <w:ind w:left="567"/>
        <w:jc w:val="both"/>
      </w:pPr>
    </w:p>
    <w:p w:rsidR="003B6B3C" w:rsidRDefault="002B4F33" w:rsidP="003B6B3C">
      <w:pPr>
        <w:pStyle w:val="ad"/>
        <w:numPr>
          <w:ilvl w:val="0"/>
          <w:numId w:val="3"/>
        </w:numPr>
        <w:spacing w:line="360" w:lineRule="auto"/>
        <w:jc w:val="both"/>
      </w:pPr>
      <w:r>
        <w:rPr>
          <w:rFonts w:ascii="David" w:hAnsi="David"/>
          <w:rtl/>
        </w:rPr>
        <w:t>לכל אלה יש להוסיף כי ביום</w:t>
      </w:r>
      <w:r>
        <w:rPr>
          <w:rtl/>
        </w:rPr>
        <w:t xml:space="preserve"> 30.1.2020 הוגש </w:t>
      </w:r>
      <w:r>
        <w:rPr>
          <w:b/>
          <w:bCs/>
          <w:rtl/>
        </w:rPr>
        <w:t>תסקיר</w:t>
      </w:r>
      <w:r>
        <w:rPr>
          <w:rtl/>
        </w:rPr>
        <w:t xml:space="preserve"> בתיק האפוט' (א"פ 8022-12-18). אמנם תיק האפוט' מאוחר בזמן למועד העברה. התיק נפתח ביום 4.12.2018, קרי כמעט 3 שנים לאחר ביצוע ההעברה. אולם ניתן ללמוד מהתסקיר גם מפיו של האב המנוח את עמדתו לגבי הסכסוך. מרקם היחסים המשפחתי קיבל גם הוא ביטוי אובייקטיבי בתסקיר. העו"ס מציינת כי האב ידע לפרט את המורכבות במערכת היחסים המשפחתית וגם לעו"ס שנים לאחר ביצוע ההעברה לא היה ברור אם האב נתון להשפעה בשל הקשר הקרוב שחש לנתבעים. התסקיר חשוב – אך לא מהווה משקל מכריע אלא רק מתווסף לכלל הראיות – ויש בו ראיה אובייקטיבית מזמן אמת גם על המצב המשפחתי ועל עמדתו של האב (עם כל זאת שיש ליתן לה משקל נמוך בהתחשב בחוו"ד המומחה שהוגשה לאחר מכן וכןתיאור העו"ס את מצב המשפחה):</w:t>
      </w:r>
    </w:p>
    <w:p w:rsidR="003B6B3C" w:rsidRDefault="00496537" w:rsidP="003B6B3C">
      <w:pPr>
        <w:spacing w:line="360" w:lineRule="auto"/>
        <w:ind w:left="567"/>
        <w:jc w:val="both"/>
        <w:rPr>
          <w:rtl/>
        </w:rPr>
      </w:pPr>
      <w:r w:rsidRPr="00496537">
        <w:rPr>
          <w:rtl/>
        </w:rPr>
        <w:drawing>
          <wp:inline distT="0" distB="0" distL="0" distR="0">
            <wp:extent cx="4736585" cy="1675130"/>
            <wp:effectExtent l="0" t="0" r="6985" b="1270"/>
            <wp:docPr id="298519654"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519654" name=""/>
                    <pic:cNvPicPr/>
                  </pic:nvPicPr>
                  <pic:blipFill>
                    <a:blip r:embed="rId10"/>
                    <a:srcRect t="3933"/>
                    <a:stretch>
                      <a:fillRect/>
                    </a:stretch>
                  </pic:blipFill>
                  <pic:spPr bwMode="auto">
                    <a:xfrm>
                      <a:off x="0" y="0"/>
                      <a:ext cx="4745563" cy="1678305"/>
                    </a:xfrm>
                    <a:prstGeom prst="rect">
                      <a:avLst/>
                    </a:prstGeom>
                    <a:ln>
                      <a:noFill/>
                    </a:ln>
                    <a:extLst>
                      <a:ext uri="{53640926-AAD7-44D8-BBD7-CCE9431645EC}">
                        <a14:shadowObscured xmlns:a14="http://schemas.microsoft.com/office/drawing/2010/main"/>
                      </a:ext>
                    </a:extLst>
                  </pic:spPr>
                </pic:pic>
              </a:graphicData>
            </a:graphic>
          </wp:inline>
        </w:drawing>
      </w:r>
    </w:p>
    <w:p w:rsidR="003B6B3C" w:rsidRDefault="00496537" w:rsidP="003B6B3C">
      <w:pPr>
        <w:spacing w:line="360" w:lineRule="auto"/>
        <w:ind w:left="567"/>
        <w:jc w:val="both"/>
      </w:pPr>
      <w:r w:rsidRPr="00496537">
        <w:rPr>
          <w:rtl/>
        </w:rPr>
        <w:lastRenderedPageBreak/>
        <w:drawing>
          <wp:inline distT="0" distB="0" distL="0" distR="0">
            <wp:extent cx="4683940" cy="2186940"/>
            <wp:effectExtent l="0" t="0" r="2540" b="3810"/>
            <wp:docPr id="491817415"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817415" name=""/>
                    <pic:cNvPicPr/>
                  </pic:nvPicPr>
                  <pic:blipFill>
                    <a:blip r:embed="rId11"/>
                    <a:stretch>
                      <a:fillRect/>
                    </a:stretch>
                  </pic:blipFill>
                  <pic:spPr>
                    <a:xfrm>
                      <a:off x="0" y="0"/>
                      <a:ext cx="4687097" cy="2188414"/>
                    </a:xfrm>
                    <a:prstGeom prst="rect">
                      <a:avLst/>
                    </a:prstGeom>
                  </pic:spPr>
                </pic:pic>
              </a:graphicData>
            </a:graphic>
          </wp:inline>
        </w:drawing>
      </w:r>
    </w:p>
    <w:p w:rsidR="003B6B3C" w:rsidRDefault="002B4F33" w:rsidP="003B6B3C">
      <w:pPr>
        <w:pStyle w:val="ad"/>
        <w:spacing w:line="360" w:lineRule="auto"/>
        <w:ind w:left="567"/>
        <w:jc w:val="both"/>
        <w:rPr>
          <w:rFonts w:ascii="David" w:hAnsi="David"/>
          <w:rtl/>
        </w:rPr>
      </w:pPr>
      <w:r>
        <w:rPr>
          <w:rFonts w:ascii="David" w:hAnsi="David"/>
          <w:rtl/>
        </w:rPr>
        <w:t>[...]</w:t>
      </w:r>
    </w:p>
    <w:p w:rsidR="003B6B3C" w:rsidRDefault="00496537" w:rsidP="003B6B3C">
      <w:pPr>
        <w:spacing w:line="360" w:lineRule="auto"/>
        <w:ind w:left="567"/>
        <w:jc w:val="both"/>
        <w:rPr>
          <w:rtl/>
        </w:rPr>
      </w:pPr>
      <w:r w:rsidRPr="00496537">
        <w:rPr>
          <w:rtl/>
        </w:rPr>
        <w:drawing>
          <wp:inline distT="0" distB="0" distL="0" distR="0">
            <wp:extent cx="5400675" cy="1717040"/>
            <wp:effectExtent l="0" t="0" r="9525" b="0"/>
            <wp:docPr id="249271093"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271093" name=""/>
                    <pic:cNvPicPr/>
                  </pic:nvPicPr>
                  <pic:blipFill>
                    <a:blip r:embed="rId12"/>
                    <a:srcRect t="9986"/>
                    <a:stretch>
                      <a:fillRect/>
                    </a:stretch>
                  </pic:blipFill>
                  <pic:spPr bwMode="auto">
                    <a:xfrm>
                      <a:off x="0" y="0"/>
                      <a:ext cx="5400675" cy="1717040"/>
                    </a:xfrm>
                    <a:prstGeom prst="rect">
                      <a:avLst/>
                    </a:prstGeom>
                    <a:ln>
                      <a:noFill/>
                    </a:ln>
                    <a:extLst>
                      <a:ext uri="{53640926-AAD7-44D8-BBD7-CCE9431645EC}">
                        <a14:shadowObscured xmlns:a14="http://schemas.microsoft.com/office/drawing/2010/main"/>
                      </a:ext>
                    </a:extLst>
                  </pic:spPr>
                </pic:pic>
              </a:graphicData>
            </a:graphic>
          </wp:inline>
        </w:drawing>
      </w:r>
    </w:p>
    <w:p w:rsidR="003B6B3C" w:rsidRDefault="003B6B3C" w:rsidP="003B6B3C">
      <w:pPr>
        <w:pStyle w:val="ad"/>
        <w:spacing w:line="360" w:lineRule="auto"/>
        <w:ind w:left="567"/>
        <w:jc w:val="both"/>
        <w:rPr>
          <w:rtl/>
        </w:rPr>
      </w:pPr>
    </w:p>
    <w:p w:rsidR="003B6B3C" w:rsidRDefault="002B4F33" w:rsidP="003B6B3C">
      <w:pPr>
        <w:pStyle w:val="ad"/>
        <w:numPr>
          <w:ilvl w:val="0"/>
          <w:numId w:val="3"/>
        </w:numPr>
        <w:spacing w:line="360" w:lineRule="auto"/>
        <w:jc w:val="both"/>
      </w:pPr>
      <w:r>
        <w:rPr>
          <w:rFonts w:ascii="David" w:hAnsi="David"/>
          <w:rtl/>
        </w:rPr>
        <w:t xml:space="preserve">העו"ס שערכה את </w:t>
      </w:r>
      <w:r>
        <w:rPr>
          <w:rFonts w:ascii="David" w:hAnsi="David"/>
          <w:b/>
          <w:bCs/>
          <w:rtl/>
        </w:rPr>
        <w:t>התסקיר</w:t>
      </w:r>
      <w:r>
        <w:rPr>
          <w:rFonts w:ascii="David" w:hAnsi="David"/>
          <w:rtl/>
        </w:rPr>
        <w:t xml:space="preserve"> פירטה את ההתרשמות מהמחלוקות הרכושיות הנוגעות לרכושו של האב, גם לפי הדברים שהאב ציין בזמן אמת:</w:t>
      </w:r>
    </w:p>
    <w:p w:rsidR="003B6B3C" w:rsidRDefault="003B6B3C" w:rsidP="003B6B3C">
      <w:pPr>
        <w:spacing w:line="360" w:lineRule="auto"/>
        <w:ind w:left="567"/>
        <w:jc w:val="both"/>
      </w:pPr>
    </w:p>
    <w:p w:rsidR="003B6B3C" w:rsidRDefault="002B4F33" w:rsidP="003B6B3C">
      <w:pPr>
        <w:spacing w:line="360" w:lineRule="auto"/>
        <w:jc w:val="both"/>
        <w:rPr>
          <w:rtl/>
        </w:rPr>
      </w:pPr>
      <w:r w:rsidRPr="00527757">
        <w:rPr>
          <w:rtl/>
        </w:rPr>
        <w:lastRenderedPageBreak/>
        <w:drawing>
          <wp:inline distT="0" distB="0" distL="0" distR="0">
            <wp:extent cx="5400675" cy="4030980"/>
            <wp:effectExtent l="0" t="0" r="9525" b="7620"/>
            <wp:docPr id="409528833"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528833" name=""/>
                    <pic:cNvPicPr/>
                  </pic:nvPicPr>
                  <pic:blipFill>
                    <a:blip r:embed="rId13"/>
                    <a:stretch>
                      <a:fillRect/>
                    </a:stretch>
                  </pic:blipFill>
                  <pic:spPr>
                    <a:xfrm>
                      <a:off x="0" y="0"/>
                      <a:ext cx="5400675" cy="4030980"/>
                    </a:xfrm>
                    <a:prstGeom prst="rect">
                      <a:avLst/>
                    </a:prstGeom>
                  </pic:spPr>
                </pic:pic>
              </a:graphicData>
            </a:graphic>
          </wp:inline>
        </w:drawing>
      </w:r>
    </w:p>
    <w:p w:rsidR="003B6B3C" w:rsidRDefault="002B4F33" w:rsidP="003B6B3C">
      <w:pPr>
        <w:pStyle w:val="ad"/>
        <w:numPr>
          <w:ilvl w:val="0"/>
          <w:numId w:val="3"/>
        </w:numPr>
        <w:spacing w:line="360" w:lineRule="auto"/>
        <w:jc w:val="both"/>
        <w:rPr>
          <w:rtl/>
        </w:rPr>
      </w:pPr>
      <w:r>
        <w:rPr>
          <w:rtl/>
        </w:rPr>
        <w:t xml:space="preserve">בנוסף, בתיק האפוט' הוגשה </w:t>
      </w:r>
      <w:r>
        <w:rPr>
          <w:b/>
          <w:bCs/>
          <w:rtl/>
        </w:rPr>
        <w:t>חוו"ד מומחה של ד"ר ברבר</w:t>
      </w:r>
      <w:r>
        <w:rPr>
          <w:rtl/>
        </w:rPr>
        <w:t xml:space="preserve"> ביום 29.7.2019 ובה צויינו הדברים הבאים, שפורטו למומחה על ידי האב. גם אם באותה העת מצבו של האב מנע ממנו כבר לקבל החלטות (כפי שנקבע בחוו"ד) וגם אם הדברים נאמרו שנים לאחר ביצוע ההעברה, הם מהווים משקל מסויים שיש להתחשב בו בקולו של האב בפרט בהתחשב בשיהוי בהגשת התביעה:</w:t>
      </w:r>
    </w:p>
    <w:p w:rsidR="003B6B3C" w:rsidRDefault="00527757" w:rsidP="003B6B3C">
      <w:pPr>
        <w:pStyle w:val="ad"/>
        <w:spacing w:line="360" w:lineRule="auto"/>
        <w:ind w:left="567"/>
        <w:jc w:val="both"/>
        <w:rPr>
          <w:rtl/>
        </w:rPr>
      </w:pPr>
      <w:r w:rsidRPr="00527757">
        <w:rPr>
          <w:rtl/>
        </w:rPr>
        <w:drawing>
          <wp:inline distT="0" distB="0" distL="0" distR="0">
            <wp:extent cx="5400675" cy="1795145"/>
            <wp:effectExtent l="0" t="0" r="9525" b="0"/>
            <wp:docPr id="1297594180"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594180" name=""/>
                    <pic:cNvPicPr/>
                  </pic:nvPicPr>
                  <pic:blipFill>
                    <a:blip r:embed="rId14"/>
                    <a:stretch>
                      <a:fillRect/>
                    </a:stretch>
                  </pic:blipFill>
                  <pic:spPr>
                    <a:xfrm>
                      <a:off x="0" y="0"/>
                      <a:ext cx="5400675" cy="1795145"/>
                    </a:xfrm>
                    <a:prstGeom prst="rect">
                      <a:avLst/>
                    </a:prstGeom>
                  </pic:spPr>
                </pic:pic>
              </a:graphicData>
            </a:graphic>
          </wp:inline>
        </w:drawing>
      </w:r>
    </w:p>
    <w:p w:rsidR="003B6B3C" w:rsidRDefault="002B4F33" w:rsidP="003B6B3C">
      <w:pPr>
        <w:spacing w:line="360" w:lineRule="auto"/>
        <w:jc w:val="both"/>
        <w:rPr>
          <w:rtl/>
        </w:rPr>
      </w:pPr>
      <w:r>
        <w:rPr>
          <w:rtl/>
        </w:rPr>
        <w:tab/>
        <w:t>[...]</w:t>
      </w:r>
    </w:p>
    <w:p w:rsidR="003B6B3C" w:rsidRDefault="00527757" w:rsidP="003B6B3C">
      <w:pPr>
        <w:pStyle w:val="ad"/>
        <w:spacing w:line="360" w:lineRule="auto"/>
        <w:ind w:left="567"/>
        <w:jc w:val="both"/>
        <w:rPr>
          <w:rtl/>
        </w:rPr>
      </w:pPr>
      <w:r w:rsidRPr="00527757">
        <w:rPr>
          <w:rtl/>
        </w:rPr>
        <w:lastRenderedPageBreak/>
        <w:drawing>
          <wp:inline distT="0" distB="0" distL="0" distR="0">
            <wp:extent cx="4669155" cy="1904444"/>
            <wp:effectExtent l="0" t="0" r="0" b="635"/>
            <wp:docPr id="876008785"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008785" name=""/>
                    <pic:cNvPicPr/>
                  </pic:nvPicPr>
                  <pic:blipFill>
                    <a:blip r:embed="rId15"/>
                    <a:stretch>
                      <a:fillRect/>
                    </a:stretch>
                  </pic:blipFill>
                  <pic:spPr>
                    <a:xfrm>
                      <a:off x="0" y="0"/>
                      <a:ext cx="4675985" cy="1907230"/>
                    </a:xfrm>
                    <a:prstGeom prst="rect">
                      <a:avLst/>
                    </a:prstGeom>
                  </pic:spPr>
                </pic:pic>
              </a:graphicData>
            </a:graphic>
          </wp:inline>
        </w:drawing>
      </w:r>
    </w:p>
    <w:p w:rsidR="003B6B3C" w:rsidRDefault="002B4F33" w:rsidP="003B6B3C">
      <w:pPr>
        <w:pStyle w:val="ad"/>
        <w:numPr>
          <w:ilvl w:val="0"/>
          <w:numId w:val="3"/>
        </w:numPr>
        <w:spacing w:line="360" w:lineRule="auto"/>
        <w:jc w:val="both"/>
        <w:rPr>
          <w:b/>
          <w:bCs/>
          <w:u w:val="single"/>
          <w:rtl/>
        </w:rPr>
      </w:pPr>
      <w:r>
        <w:rPr>
          <w:rtl/>
        </w:rPr>
        <w:t xml:space="preserve">שני הצדדים צירפו תמלולים שונים. באופן תמוה שני הצדדים נמנעו מלציין פרטים בסיסיים לגבי התמלולים: מתי הוקלט, באיזה נסיבות, מי הקליט, מה הסיבה להקלטה.  </w:t>
      </w:r>
    </w:p>
    <w:p w:rsidR="003B6B3C" w:rsidRDefault="003B6B3C" w:rsidP="003B6B3C">
      <w:pPr>
        <w:pStyle w:val="ad"/>
        <w:spacing w:line="360" w:lineRule="auto"/>
        <w:ind w:left="567"/>
        <w:jc w:val="both"/>
        <w:rPr>
          <w:b/>
          <w:bCs/>
          <w:u w:val="single"/>
        </w:rPr>
      </w:pPr>
    </w:p>
    <w:p w:rsidR="003B6B3C" w:rsidRDefault="002B4F33" w:rsidP="003B6B3C">
      <w:pPr>
        <w:pStyle w:val="ad"/>
        <w:numPr>
          <w:ilvl w:val="0"/>
          <w:numId w:val="3"/>
        </w:numPr>
        <w:spacing w:line="360" w:lineRule="auto"/>
        <w:jc w:val="both"/>
        <w:rPr>
          <w:b/>
          <w:bCs/>
          <w:u w:val="single"/>
        </w:rPr>
      </w:pPr>
      <w:r>
        <w:rPr>
          <w:rtl/>
        </w:rPr>
        <w:t>מבחינת התוכן עולה כי ההקלטות שצורפו על ידי הנתבעת נערכו לאחר פתיחת הליך האפוטרופסות. בחנתי אותן לעומקן ואיני סבורה כי יש בהן להשפיע מהותית על ההכרעה בנושאים שבמחלוקת.</w:t>
      </w:r>
    </w:p>
    <w:p w:rsidR="003B6B3C" w:rsidRDefault="003B6B3C" w:rsidP="003B6B3C">
      <w:pPr>
        <w:pStyle w:val="ad"/>
        <w:rPr>
          <w:b/>
          <w:bCs/>
          <w:u w:val="single"/>
        </w:rPr>
      </w:pPr>
    </w:p>
    <w:p w:rsidR="003B6B3C" w:rsidRDefault="002B4F33" w:rsidP="003B6B3C">
      <w:pPr>
        <w:pStyle w:val="ad"/>
        <w:numPr>
          <w:ilvl w:val="0"/>
          <w:numId w:val="3"/>
        </w:numPr>
        <w:spacing w:line="360" w:lineRule="auto"/>
        <w:jc w:val="both"/>
        <w:rPr>
          <w:rtl/>
        </w:rPr>
      </w:pPr>
      <w:r>
        <w:rPr>
          <w:rtl/>
        </w:rPr>
        <w:t>התמלול שצורף על ידי התובעים (נספח 12 לכתב התביעה) הוא שיחה של האב עם התובע 3 וכאמור אין פרטים בסיסיים נדרשים לגבי שיחה זו. הרושם שעולה מהשיחה כי התובע 3 חפץ להוביל את האב בלשונו על מנת שיאשר מה שהוא מבקש (שהאב מבקש לחלק את רכושו כולל הדירה בחלקים שווים), בעוד שהאב חוזר ומחדד על מערכת היחסים העכורה עם התובעים. התחושה שעולה מתמלול זה מכמירת לב כלפי האב. עם זאת האב חוזר מספר פעמים כי העביר את דירת המגורים על שם הנתבעת לאור התנהלות התובעים נגדו והיא תחלק אותה בין הילדים:</w:t>
      </w:r>
    </w:p>
    <w:p w:rsidR="003B6B3C" w:rsidRDefault="002B4F33" w:rsidP="003B6B3C">
      <w:pPr>
        <w:pStyle w:val="ad"/>
        <w:spacing w:line="360" w:lineRule="auto"/>
        <w:ind w:left="567"/>
        <w:jc w:val="both"/>
      </w:pPr>
      <w:r>
        <w:rPr>
          <w:rtl/>
        </w:rPr>
        <w:tab/>
      </w:r>
      <w:r w:rsidR="00527757" w:rsidRPr="00527757">
        <w:rPr>
          <w:rtl/>
        </w:rPr>
        <w:drawing>
          <wp:inline distT="0" distB="0" distL="0" distR="0">
            <wp:extent cx="4411521" cy="2118360"/>
            <wp:effectExtent l="0" t="0" r="8255" b="0"/>
            <wp:docPr id="53253503"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53503" name=""/>
                    <pic:cNvPicPr/>
                  </pic:nvPicPr>
                  <pic:blipFill>
                    <a:blip r:embed="rId16"/>
                    <a:stretch>
                      <a:fillRect/>
                    </a:stretch>
                  </pic:blipFill>
                  <pic:spPr>
                    <a:xfrm>
                      <a:off x="0" y="0"/>
                      <a:ext cx="4413741" cy="2119426"/>
                    </a:xfrm>
                    <a:prstGeom prst="rect">
                      <a:avLst/>
                    </a:prstGeom>
                  </pic:spPr>
                </pic:pic>
              </a:graphicData>
            </a:graphic>
          </wp:inline>
        </w:drawing>
      </w:r>
    </w:p>
    <w:p w:rsidR="003B6B3C" w:rsidRDefault="002B4F33" w:rsidP="003B6B3C">
      <w:pPr>
        <w:pStyle w:val="ad"/>
        <w:spacing w:line="360" w:lineRule="auto"/>
        <w:ind w:left="567"/>
        <w:jc w:val="both"/>
        <w:rPr>
          <w:rtl/>
        </w:rPr>
      </w:pPr>
      <w:r>
        <w:rPr>
          <w:rtl/>
        </w:rPr>
        <w:t>ראו: תמלול, עמ' 2.</w:t>
      </w:r>
    </w:p>
    <w:p w:rsidR="003B6B3C" w:rsidRDefault="003B6B3C" w:rsidP="003B6B3C">
      <w:pPr>
        <w:pStyle w:val="ad"/>
        <w:spacing w:line="360" w:lineRule="auto"/>
        <w:ind w:left="567"/>
        <w:jc w:val="both"/>
        <w:rPr>
          <w:rtl/>
        </w:rPr>
      </w:pPr>
    </w:p>
    <w:p w:rsidR="003B6B3C" w:rsidRDefault="002B4F33" w:rsidP="003B6B3C">
      <w:pPr>
        <w:pStyle w:val="ad"/>
        <w:spacing w:line="360" w:lineRule="auto"/>
        <w:ind w:left="567"/>
        <w:jc w:val="both"/>
        <w:rPr>
          <w:rtl/>
        </w:rPr>
      </w:pPr>
      <w:r>
        <w:rPr>
          <w:rtl/>
        </w:rPr>
        <w:t>גם בהמשך השיחה האב חוזר על הדברים:</w:t>
      </w:r>
    </w:p>
    <w:p w:rsidR="003B6B3C" w:rsidRDefault="00256B06" w:rsidP="003B6B3C">
      <w:pPr>
        <w:pStyle w:val="ad"/>
        <w:spacing w:line="360" w:lineRule="auto"/>
        <w:ind w:left="567"/>
        <w:jc w:val="both"/>
        <w:rPr>
          <w:rtl/>
        </w:rPr>
      </w:pPr>
      <w:r w:rsidRPr="00256B06">
        <w:rPr>
          <w:rtl/>
        </w:rPr>
        <w:lastRenderedPageBreak/>
        <w:drawing>
          <wp:inline distT="0" distB="0" distL="0" distR="0">
            <wp:extent cx="4444365" cy="1889597"/>
            <wp:effectExtent l="0" t="0" r="0" b="0"/>
            <wp:docPr id="2115264160"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264160" name=""/>
                    <pic:cNvPicPr/>
                  </pic:nvPicPr>
                  <pic:blipFill>
                    <a:blip r:embed="rId17"/>
                    <a:srcRect t="12677"/>
                    <a:stretch>
                      <a:fillRect/>
                    </a:stretch>
                  </pic:blipFill>
                  <pic:spPr bwMode="auto">
                    <a:xfrm>
                      <a:off x="0" y="0"/>
                      <a:ext cx="4447115" cy="1890766"/>
                    </a:xfrm>
                    <a:prstGeom prst="rect">
                      <a:avLst/>
                    </a:prstGeom>
                    <a:ln>
                      <a:noFill/>
                    </a:ln>
                    <a:extLst>
                      <a:ext uri="{53640926-AAD7-44D8-BBD7-CCE9431645EC}">
                        <a14:shadowObscured xmlns:a14="http://schemas.microsoft.com/office/drawing/2010/main"/>
                      </a:ext>
                    </a:extLst>
                  </pic:spPr>
                </pic:pic>
              </a:graphicData>
            </a:graphic>
          </wp:inline>
        </w:drawing>
      </w:r>
    </w:p>
    <w:p w:rsidR="003B6B3C" w:rsidRDefault="002B4F33" w:rsidP="003B6B3C">
      <w:pPr>
        <w:pStyle w:val="ad"/>
        <w:spacing w:line="360" w:lineRule="auto"/>
        <w:ind w:left="567"/>
        <w:jc w:val="both"/>
        <w:rPr>
          <w:rtl/>
        </w:rPr>
      </w:pPr>
      <w:r>
        <w:rPr>
          <w:rtl/>
        </w:rPr>
        <w:t>ראו: תמלול, עמ' 3.</w:t>
      </w:r>
    </w:p>
    <w:p w:rsidR="003B6B3C" w:rsidRDefault="003B6B3C" w:rsidP="003B6B3C">
      <w:pPr>
        <w:pStyle w:val="ad"/>
        <w:spacing w:line="360" w:lineRule="auto"/>
        <w:ind w:left="567"/>
        <w:jc w:val="both"/>
        <w:rPr>
          <w:rtl/>
        </w:rPr>
      </w:pPr>
    </w:p>
    <w:p w:rsidR="003B6B3C" w:rsidRDefault="002B4F33" w:rsidP="003B6B3C">
      <w:pPr>
        <w:pStyle w:val="ad"/>
        <w:numPr>
          <w:ilvl w:val="0"/>
          <w:numId w:val="3"/>
        </w:numPr>
        <w:spacing w:line="360" w:lineRule="auto"/>
        <w:jc w:val="both"/>
        <w:rPr>
          <w:noProof w:val="0"/>
          <w:rtl/>
        </w:rPr>
      </w:pPr>
      <w:r>
        <w:rPr>
          <w:b/>
          <w:bCs/>
          <w:rtl/>
        </w:rPr>
        <w:t>הנתבע</w:t>
      </w:r>
      <w:r>
        <w:rPr>
          <w:rtl/>
        </w:rPr>
        <w:t xml:space="preserve"> נשאל בחקירתו האם הייתה הבטחה לאב לחלק לאחר מותו שווה בשווה והכחיש נמרצות. עם זאת אישר כי אמרו לאב: "</w:t>
      </w:r>
      <w:r>
        <w:rPr>
          <w:b/>
          <w:bCs/>
          <w:rtl/>
        </w:rPr>
        <w:t>אנחנו תמיד אמרנו לו 'אבא, אתה, עד שאתה חי, הדירה שלך'. אנחנו אמרנו את זה,</w:t>
      </w:r>
      <w:r>
        <w:rPr>
          <w:rtl/>
        </w:rPr>
        <w:t xml:space="preserve">" </w:t>
      </w:r>
      <w:r>
        <w:rPr>
          <w:noProof w:val="0"/>
          <w:rtl/>
        </w:rPr>
        <w:t>(ראו: פרוט' מיום 25.5.22, עמ' 113 שורות 29-30).</w:t>
      </w:r>
    </w:p>
    <w:p w:rsidR="003B6B3C" w:rsidRDefault="003B6B3C" w:rsidP="003B6B3C">
      <w:pPr>
        <w:pStyle w:val="ad"/>
        <w:spacing w:line="360" w:lineRule="auto"/>
        <w:jc w:val="both"/>
      </w:pPr>
    </w:p>
    <w:p w:rsidR="003B6B3C" w:rsidRDefault="002B4F33" w:rsidP="003B6B3C">
      <w:pPr>
        <w:pStyle w:val="ad"/>
        <w:numPr>
          <w:ilvl w:val="0"/>
          <w:numId w:val="3"/>
        </w:numPr>
        <w:spacing w:line="360" w:lineRule="auto"/>
        <w:jc w:val="both"/>
      </w:pPr>
      <w:r>
        <w:rPr>
          <w:rtl/>
        </w:rPr>
        <w:t xml:space="preserve">תמלול קשה נוסף שצורף לתצע"ר נספח 12 כאשר התובע 3 מגיע לבקר את האב והנתבע לא מאשר לו לפגוש אותו (תאריך לא צויין): </w:t>
      </w:r>
    </w:p>
    <w:p w:rsidR="003B6B3C" w:rsidRPr="0009378B" w:rsidRDefault="0009378B" w:rsidP="0009378B">
      <w:pPr>
        <w:spacing w:line="360" w:lineRule="auto"/>
        <w:ind w:left="567"/>
        <w:jc w:val="both"/>
        <w:rPr>
          <w:rtl/>
        </w:rPr>
      </w:pPr>
      <w:r w:rsidRPr="0009378B">
        <w:lastRenderedPageBreak/>
        <w:drawing>
          <wp:inline distT="0" distB="0" distL="0" distR="0">
            <wp:extent cx="4925695" cy="4727575"/>
            <wp:effectExtent l="0" t="0" r="8255" b="0"/>
            <wp:docPr id="14" name="תמונה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25695" cy="4727575"/>
                    </a:xfrm>
                    <a:prstGeom prst="rect">
                      <a:avLst/>
                    </a:prstGeom>
                    <a:noFill/>
                    <a:ln>
                      <a:noFill/>
                    </a:ln>
                  </pic:spPr>
                </pic:pic>
              </a:graphicData>
            </a:graphic>
          </wp:inline>
        </w:drawing>
      </w:r>
    </w:p>
    <w:p w:rsidR="003B6B3C" w:rsidRDefault="003B6B3C" w:rsidP="003B6B3C">
      <w:pPr>
        <w:spacing w:line="360" w:lineRule="auto"/>
        <w:jc w:val="both"/>
        <w:rPr>
          <w:b/>
          <w:bCs/>
          <w:u w:val="single"/>
          <w:rtl/>
        </w:rPr>
      </w:pPr>
    </w:p>
    <w:p w:rsidR="003B6B3C" w:rsidRDefault="002B4F33" w:rsidP="003B6B3C">
      <w:pPr>
        <w:pStyle w:val="ad"/>
        <w:numPr>
          <w:ilvl w:val="0"/>
          <w:numId w:val="3"/>
        </w:numPr>
        <w:spacing w:line="360" w:lineRule="auto"/>
        <w:jc w:val="both"/>
        <w:rPr>
          <w:rFonts w:ascii="Arial" w:hAnsi="Arial"/>
          <w:noProof w:val="0"/>
          <w:rtl/>
        </w:rPr>
      </w:pPr>
      <w:r>
        <w:rPr>
          <w:rFonts w:ascii="Arial" w:hAnsi="Arial"/>
          <w:b/>
          <w:bCs/>
          <w:noProof w:val="0"/>
          <w:rtl/>
        </w:rPr>
        <w:t xml:space="preserve">התובע 3 </w:t>
      </w:r>
      <w:r>
        <w:rPr>
          <w:rFonts w:ascii="Arial" w:hAnsi="Arial"/>
          <w:noProof w:val="0"/>
          <w:rtl/>
        </w:rPr>
        <w:t>בחקירתו הפנה לאירוע זה וחזר על תיאור הדברים:</w:t>
      </w:r>
      <w:bookmarkStart w:id="49" w:name="_ETM_Q_1142789"/>
      <w:bookmarkEnd w:id="49"/>
    </w:p>
    <w:p w:rsidR="003B6B3C" w:rsidRDefault="002B4F33" w:rsidP="007B3955">
      <w:pPr>
        <w:pStyle w:val="ad"/>
        <w:spacing w:line="360" w:lineRule="auto"/>
        <w:ind w:left="567"/>
        <w:jc w:val="both"/>
        <w:rPr>
          <w:rFonts w:ascii="Arial" w:hAnsi="Arial"/>
          <w:b/>
          <w:bCs/>
          <w:lang w:val="fr-FR"/>
        </w:rPr>
      </w:pPr>
      <w:r>
        <w:rPr>
          <w:rFonts w:ascii="Arial" w:hAnsi="Arial"/>
          <w:noProof w:val="0"/>
          <w:rtl/>
        </w:rPr>
        <w:t>"</w:t>
      </w:r>
      <w:r>
        <w:rPr>
          <w:rFonts w:ascii="Arial" w:hAnsi="Arial"/>
          <w:b/>
          <w:bCs/>
          <w:rtl/>
          <w:lang w:val="fr-FR"/>
        </w:rPr>
        <w:t>[...] יש לי הקלטה שאני עומד מאחורי הדלת, אני מבקש מ</w:t>
      </w:r>
      <w:r w:rsidR="00B430AE">
        <w:rPr>
          <w:rFonts w:ascii="Arial" w:hAnsi="Arial" w:hint="cs"/>
          <w:b/>
          <w:bCs/>
          <w:rtl/>
          <w:lang w:val="fr-FR"/>
        </w:rPr>
        <w:t>***</w:t>
      </w:r>
      <w:r>
        <w:rPr>
          <w:rFonts w:ascii="Arial" w:hAnsi="Arial"/>
          <w:b/>
          <w:bCs/>
          <w:rtl/>
          <w:lang w:val="fr-FR"/>
        </w:rPr>
        <w:t>,</w:t>
      </w:r>
      <w:bookmarkStart w:id="50" w:name="_ETM_Q_1148013"/>
      <w:bookmarkEnd w:id="50"/>
      <w:r>
        <w:rPr>
          <w:rFonts w:ascii="Arial" w:hAnsi="Arial"/>
          <w:b/>
          <w:bCs/>
          <w:rtl/>
          <w:lang w:val="fr-FR"/>
        </w:rPr>
        <w:t xml:space="preserve"> "תן לי לבוא להיכנס לראות</w:t>
      </w:r>
      <w:bookmarkStart w:id="51" w:name="_ETM_Q_1150085"/>
      <w:bookmarkEnd w:id="51"/>
      <w:r>
        <w:rPr>
          <w:rFonts w:ascii="Arial" w:hAnsi="Arial"/>
          <w:b/>
          <w:bCs/>
          <w:rtl/>
          <w:lang w:val="fr-FR"/>
        </w:rPr>
        <w:t xml:space="preserve"> את אבא שלי" מוקלט. כבוד השופט רוצה</w:t>
      </w:r>
      <w:bookmarkStart w:id="52" w:name="_ETM_Q_1154253"/>
      <w:bookmarkEnd w:id="52"/>
      <w:r>
        <w:rPr>
          <w:rFonts w:ascii="Arial" w:hAnsi="Arial"/>
          <w:b/>
          <w:bCs/>
          <w:rtl/>
          <w:lang w:val="fr-FR"/>
        </w:rPr>
        <w:t xml:space="preserve"> אני אראה. </w:t>
      </w:r>
      <w:r w:rsidR="00B82E39">
        <w:rPr>
          <w:rFonts w:ascii="Arial" w:hAnsi="Arial"/>
          <w:b/>
          <w:bCs/>
          <w:rtl/>
          <w:lang w:val="fr-FR"/>
        </w:rPr>
        <w:t>ו</w:t>
      </w:r>
      <w:r w:rsidR="00B430AE">
        <w:rPr>
          <w:rFonts w:ascii="Arial" w:hAnsi="Arial" w:hint="cs"/>
          <w:b/>
          <w:bCs/>
          <w:rtl/>
          <w:lang w:val="fr-FR"/>
        </w:rPr>
        <w:t>***</w:t>
      </w:r>
      <w:r w:rsidR="00B82E39">
        <w:rPr>
          <w:rFonts w:ascii="Arial" w:hAnsi="Arial"/>
          <w:b/>
          <w:bCs/>
          <w:rtl/>
          <w:lang w:val="fr-FR"/>
        </w:rPr>
        <w:t xml:space="preserve"> </w:t>
      </w:r>
      <w:r>
        <w:rPr>
          <w:rFonts w:ascii="Arial" w:hAnsi="Arial"/>
          <w:b/>
          <w:bCs/>
          <w:rtl/>
          <w:lang w:val="fr-FR"/>
        </w:rPr>
        <w:t>אומר לי "לך מפה, הסתלק מפה, אני</w:t>
      </w:r>
      <w:bookmarkStart w:id="53" w:name="_ETM_Q_1155800"/>
      <w:bookmarkEnd w:id="53"/>
      <w:r>
        <w:rPr>
          <w:rFonts w:ascii="Arial" w:hAnsi="Arial"/>
          <w:b/>
          <w:bCs/>
          <w:rtl/>
          <w:lang w:val="fr-FR"/>
        </w:rPr>
        <w:t xml:space="preserve"> עכשיו מזמין משטרה. והם הכניסו לו בתת מודע שאני מדבר</w:t>
      </w:r>
      <w:bookmarkStart w:id="54" w:name="_ETM_Q_1163645"/>
      <w:bookmarkEnd w:id="54"/>
      <w:r>
        <w:rPr>
          <w:rFonts w:ascii="Arial" w:hAnsi="Arial"/>
          <w:b/>
          <w:bCs/>
          <w:rtl/>
          <w:lang w:val="fr-FR"/>
        </w:rPr>
        <w:t xml:space="preserve"> עם אבא שלי, אומר לי "אלה השכנים הזמינו משטרה".</w:t>
      </w:r>
      <w:bookmarkStart w:id="55" w:name="_ETM_Q_1166758"/>
      <w:bookmarkEnd w:id="55"/>
      <w:r>
        <w:rPr>
          <w:rFonts w:ascii="Arial" w:hAnsi="Arial"/>
          <w:b/>
          <w:bCs/>
          <w:rtl/>
          <w:lang w:val="fr-FR"/>
        </w:rPr>
        <w:t xml:space="preserve"> האמן לי, כל מילה. הכול יש הקלטה."</w:t>
      </w:r>
    </w:p>
    <w:p w:rsidR="003B6B3C" w:rsidRDefault="002B4F33" w:rsidP="003B6B3C">
      <w:pPr>
        <w:pStyle w:val="ad"/>
        <w:spacing w:line="360" w:lineRule="auto"/>
        <w:ind w:left="567"/>
        <w:jc w:val="both"/>
        <w:rPr>
          <w:noProof w:val="0"/>
          <w:rtl/>
        </w:rPr>
      </w:pPr>
      <w:r>
        <w:rPr>
          <w:noProof w:val="0"/>
          <w:rtl/>
        </w:rPr>
        <w:t>(ראו: פרוט' מיום 22.5.22, עמ' 25 שורות 22-28).</w:t>
      </w:r>
    </w:p>
    <w:p w:rsidR="003B6B3C" w:rsidRDefault="003B6B3C" w:rsidP="003B6B3C">
      <w:pPr>
        <w:pStyle w:val="ad"/>
        <w:spacing w:line="360" w:lineRule="auto"/>
        <w:ind w:left="567"/>
        <w:jc w:val="both"/>
        <w:rPr>
          <w:rFonts w:ascii="Arial" w:hAnsi="Arial"/>
          <w:noProof w:val="0"/>
        </w:rPr>
      </w:pPr>
    </w:p>
    <w:p w:rsidR="003B6B3C" w:rsidRDefault="002B4F33" w:rsidP="003B6B3C">
      <w:pPr>
        <w:pStyle w:val="ad"/>
        <w:numPr>
          <w:ilvl w:val="0"/>
          <w:numId w:val="3"/>
        </w:numPr>
        <w:spacing w:line="360" w:lineRule="auto"/>
        <w:jc w:val="both"/>
        <w:rPr>
          <w:rFonts w:ascii="Arial" w:hAnsi="Arial"/>
          <w:noProof w:val="0"/>
        </w:rPr>
      </w:pPr>
      <w:r>
        <w:rPr>
          <w:rFonts w:ascii="Arial" w:hAnsi="Arial"/>
          <w:noProof w:val="0"/>
          <w:rtl/>
        </w:rPr>
        <w:t>יש לתת משקל מסויים לתמלולים אלה אך לא מכריע. הם מצטרפים למארג הראייתי הכולל.</w:t>
      </w:r>
    </w:p>
    <w:p w:rsidR="003B6B3C" w:rsidRDefault="003B6B3C" w:rsidP="003B6B3C">
      <w:pPr>
        <w:pStyle w:val="ad"/>
        <w:spacing w:line="360" w:lineRule="auto"/>
        <w:ind w:left="567"/>
        <w:jc w:val="both"/>
        <w:rPr>
          <w:rFonts w:ascii="Arial" w:hAnsi="Arial"/>
          <w:noProof w:val="0"/>
          <w:rtl/>
        </w:rPr>
      </w:pPr>
    </w:p>
    <w:p w:rsidR="003B6B3C" w:rsidRDefault="003B6B3C" w:rsidP="003B6B3C">
      <w:pPr>
        <w:pStyle w:val="ad"/>
        <w:spacing w:line="360" w:lineRule="auto"/>
        <w:ind w:left="567"/>
        <w:jc w:val="both"/>
        <w:rPr>
          <w:rFonts w:ascii="Arial" w:hAnsi="Arial"/>
          <w:noProof w:val="0"/>
          <w:rtl/>
        </w:rPr>
      </w:pPr>
    </w:p>
    <w:p w:rsidR="003B6B3C" w:rsidRDefault="003B6B3C" w:rsidP="003B6B3C">
      <w:pPr>
        <w:pStyle w:val="ad"/>
        <w:spacing w:line="360" w:lineRule="auto"/>
        <w:ind w:left="567"/>
        <w:jc w:val="both"/>
        <w:rPr>
          <w:rFonts w:ascii="Arial" w:hAnsi="Arial"/>
          <w:noProof w:val="0"/>
        </w:rPr>
      </w:pPr>
    </w:p>
    <w:p w:rsidR="003B6B3C" w:rsidRDefault="002B4F33" w:rsidP="003B6B3C">
      <w:pPr>
        <w:pStyle w:val="ad"/>
        <w:numPr>
          <w:ilvl w:val="0"/>
          <w:numId w:val="3"/>
        </w:numPr>
        <w:spacing w:line="360" w:lineRule="auto"/>
        <w:jc w:val="both"/>
        <w:rPr>
          <w:rFonts w:ascii="Arial" w:hAnsi="Arial"/>
          <w:noProof w:val="0"/>
        </w:rPr>
      </w:pPr>
      <w:r>
        <w:rPr>
          <w:rFonts w:ascii="Arial" w:hAnsi="Arial"/>
          <w:noProof w:val="0"/>
          <w:rtl/>
        </w:rPr>
        <w:t xml:space="preserve">יצויין כי הצדדים הרחיבו בטענות הנוגעות להליכים משפטיים קודמים לרבות לגבי שטר החוב שהגיש התובע 2 כנגד האב וההליך שהועבר לבימ"ש, ההתנהלות לגבי העברת המגרשים, תביעה </w:t>
      </w:r>
      <w:r>
        <w:rPr>
          <w:rFonts w:ascii="Arial" w:hAnsi="Arial"/>
          <w:noProof w:val="0"/>
          <w:rtl/>
        </w:rPr>
        <w:lastRenderedPageBreak/>
        <w:t>לגבי פינוי הנתבעים מדירה קודמת בה גרו, מחלוקות רכושיות בין התובעים לנתבע, הליך צו ההגנה, נושאים הקשורים לנסיבות עריכת הצוואה משנת 2019 ועוד – סברתי כי מדובר בהרחבות שאין בהן על מנת לסייע להכרעה בהליכים אלה ודיון בהם מסרבל את ההליכים ללא צורך ומרחיב את הדיון למחוזות לא לו.</w:t>
      </w:r>
    </w:p>
    <w:p w:rsidR="003B6B3C" w:rsidRDefault="003B6B3C" w:rsidP="003B6B3C">
      <w:pPr>
        <w:pStyle w:val="ad"/>
        <w:spacing w:line="360" w:lineRule="auto"/>
        <w:ind w:left="567"/>
        <w:jc w:val="both"/>
        <w:rPr>
          <w:rFonts w:ascii="Arial" w:hAnsi="Arial"/>
          <w:noProof w:val="0"/>
        </w:rPr>
      </w:pPr>
    </w:p>
    <w:p w:rsidR="003B6B3C" w:rsidRDefault="002B4F33" w:rsidP="003B6B3C">
      <w:pPr>
        <w:pStyle w:val="ad"/>
        <w:numPr>
          <w:ilvl w:val="0"/>
          <w:numId w:val="3"/>
        </w:numPr>
        <w:spacing w:line="360" w:lineRule="auto"/>
        <w:jc w:val="both"/>
        <w:rPr>
          <w:rFonts w:ascii="Arial" w:hAnsi="Arial"/>
          <w:noProof w:val="0"/>
        </w:rPr>
      </w:pPr>
      <w:r>
        <w:rPr>
          <w:noProof w:val="0"/>
          <w:rtl/>
        </w:rPr>
        <w:t xml:space="preserve">אשר על כן ולאחר בחינת כלל הראיות והעדויות שוכנעתי כי העברת דירת המגורים ללא תמורה מהאב לנתבעת היא תוצאה של השפעה בלתי הוגנת ועל כן יש להורות על ביטולה. </w:t>
      </w:r>
    </w:p>
    <w:p w:rsidR="003B6B3C" w:rsidRDefault="003B6B3C" w:rsidP="003B6B3C">
      <w:pPr>
        <w:pStyle w:val="ad"/>
        <w:rPr>
          <w:rFonts w:ascii="Arial" w:hAnsi="Arial"/>
          <w:noProof w:val="0"/>
        </w:rPr>
      </w:pPr>
    </w:p>
    <w:p w:rsidR="003B6B3C" w:rsidRDefault="002B4F33" w:rsidP="003B6B3C">
      <w:pPr>
        <w:pStyle w:val="ad"/>
        <w:numPr>
          <w:ilvl w:val="0"/>
          <w:numId w:val="4"/>
        </w:numPr>
        <w:spacing w:line="360" w:lineRule="auto"/>
        <w:jc w:val="both"/>
        <w:rPr>
          <w:rFonts w:ascii="David" w:hAnsi="David"/>
          <w:b/>
          <w:bCs/>
          <w:u w:val="single"/>
          <w:rtl/>
        </w:rPr>
      </w:pPr>
      <w:r>
        <w:rPr>
          <w:rFonts w:ascii="David" w:hAnsi="David"/>
          <w:b/>
          <w:bCs/>
          <w:u w:val="single"/>
          <w:rtl/>
        </w:rPr>
        <w:t>טענת טעות והטעיה</w:t>
      </w:r>
    </w:p>
    <w:p w:rsidR="003B6B3C" w:rsidRDefault="003B6B3C" w:rsidP="003B6B3C">
      <w:pPr>
        <w:pStyle w:val="ad"/>
        <w:spacing w:line="360" w:lineRule="auto"/>
        <w:ind w:left="927"/>
        <w:jc w:val="both"/>
        <w:rPr>
          <w:rFonts w:ascii="David" w:hAnsi="David"/>
          <w:b/>
          <w:bCs/>
          <w:u w:val="single"/>
        </w:rPr>
      </w:pPr>
    </w:p>
    <w:p w:rsidR="003B6B3C" w:rsidRDefault="002B4F33" w:rsidP="003B6B3C">
      <w:pPr>
        <w:pStyle w:val="ad"/>
        <w:numPr>
          <w:ilvl w:val="0"/>
          <w:numId w:val="3"/>
        </w:numPr>
        <w:spacing w:line="360" w:lineRule="auto"/>
        <w:jc w:val="both"/>
        <w:rPr>
          <w:rFonts w:ascii="Arial" w:hAnsi="Arial"/>
          <w:b/>
          <w:bCs/>
          <w:noProof w:val="0"/>
          <w:rtl/>
        </w:rPr>
      </w:pPr>
      <w:r>
        <w:rPr>
          <w:rFonts w:ascii="Arial" w:hAnsi="Arial"/>
          <w:noProof w:val="0"/>
          <w:rtl/>
        </w:rPr>
        <w:t>סעיף 14(א) לחוק החוזים (חלק כללי), תשל"ג -1973 קובע: "</w:t>
      </w:r>
      <w:r>
        <w:rPr>
          <w:rFonts w:ascii="Arial" w:hAnsi="Arial"/>
          <w:b/>
          <w:bCs/>
          <w:noProof w:val="0"/>
          <w:rtl/>
        </w:rPr>
        <w:t>מי שהתקשר בחוזה עקב טעות וניתן להניח שלולא הטעות לא היה מתקשר בחוזה והצד השני ידע או היה עליו לדעת על כך, רשאי לבטל את החוזה.</w:t>
      </w:r>
      <w:r>
        <w:rPr>
          <w:rFonts w:ascii="Arial" w:hAnsi="Arial"/>
          <w:noProof w:val="0"/>
          <w:rtl/>
        </w:rPr>
        <w:t>"</w:t>
      </w:r>
    </w:p>
    <w:p w:rsidR="003B6B3C" w:rsidRDefault="003B6B3C" w:rsidP="003B6B3C">
      <w:pPr>
        <w:pStyle w:val="ad"/>
        <w:spacing w:line="360" w:lineRule="auto"/>
        <w:ind w:left="567"/>
        <w:jc w:val="both"/>
        <w:rPr>
          <w:rFonts w:ascii="Arial" w:hAnsi="Arial"/>
          <w:b/>
          <w:bCs/>
          <w:noProof w:val="0"/>
        </w:rPr>
      </w:pPr>
    </w:p>
    <w:p w:rsidR="003B6B3C" w:rsidRDefault="002B4F33" w:rsidP="003B6B3C">
      <w:pPr>
        <w:pStyle w:val="ad"/>
        <w:numPr>
          <w:ilvl w:val="0"/>
          <w:numId w:val="3"/>
        </w:numPr>
        <w:spacing w:line="360" w:lineRule="auto"/>
        <w:jc w:val="both"/>
        <w:rPr>
          <w:rFonts w:ascii="Arial" w:hAnsi="Arial"/>
          <w:b/>
          <w:bCs/>
          <w:noProof w:val="0"/>
          <w:rtl/>
        </w:rPr>
      </w:pPr>
      <w:r>
        <w:rPr>
          <w:rFonts w:ascii="Arial" w:hAnsi="Arial"/>
          <w:noProof w:val="0"/>
          <w:rtl/>
        </w:rPr>
        <w:t>סעיף 15 לחוק החוזים (חלק כללי), תשל"ג -1973 קובע: "</w:t>
      </w:r>
      <w:r>
        <w:rPr>
          <w:rFonts w:ascii="Arial" w:hAnsi="Arial"/>
          <w:b/>
          <w:bCs/>
          <w:noProof w:val="0"/>
          <w:rtl/>
        </w:rPr>
        <w:t>מי שהתקשר בחוזה עקב טעות שהיא תוצאת הטעיה שהטעהו הצד השני או אחר מטעמו, רשאי לבטל את החוזה; לענין זה, "הטעיה" - לרבות אי-גילוין של עובדות אשר לפי דין, לפי נוהג או לפי הנסיבות היה על הצד השני לגלותן.</w:t>
      </w:r>
      <w:r>
        <w:rPr>
          <w:rFonts w:ascii="Arial" w:hAnsi="Arial"/>
          <w:noProof w:val="0"/>
          <w:rtl/>
        </w:rPr>
        <w:t>"</w:t>
      </w:r>
    </w:p>
    <w:p w:rsidR="003B6B3C" w:rsidRDefault="003B6B3C" w:rsidP="003B6B3C">
      <w:pPr>
        <w:pStyle w:val="ad"/>
        <w:rPr>
          <w:rFonts w:ascii="Arial" w:hAnsi="Arial"/>
          <w:b/>
          <w:bCs/>
          <w:noProof w:val="0"/>
        </w:rPr>
      </w:pPr>
    </w:p>
    <w:p w:rsidR="003B6B3C" w:rsidRDefault="002B4F33" w:rsidP="003B6B3C">
      <w:pPr>
        <w:pStyle w:val="ad"/>
        <w:numPr>
          <w:ilvl w:val="0"/>
          <w:numId w:val="3"/>
        </w:numPr>
        <w:spacing w:line="360" w:lineRule="auto"/>
        <w:jc w:val="both"/>
        <w:rPr>
          <w:rFonts w:ascii="Arial" w:hAnsi="Arial"/>
          <w:noProof w:val="0"/>
          <w:rtl/>
        </w:rPr>
      </w:pPr>
      <w:r>
        <w:rPr>
          <w:rFonts w:ascii="Arial" w:hAnsi="Arial"/>
          <w:noProof w:val="0"/>
          <w:rtl/>
        </w:rPr>
        <w:t xml:space="preserve">לטענת התובעים הנתבעת הטעתה את האב והצהירה בפניו שהיא תשמור על רכושו לצורך הוצאה לפועל של הצוואה משנת 2011 ורכושו יחולק בין ילדיו בחלקים שווים. למרות שלא התכוונה לעשות כן. התובעים מפנים לחוו"ד מומחה בתיק האפוט' (שצוטטה לעיל) ולתמלול (נספח 12 לכתב התביעה) שצוטט לעיל בו האב מציין כי הנתבעת תחלק את הדירה לכל הילדים. </w:t>
      </w:r>
    </w:p>
    <w:p w:rsidR="003B6B3C" w:rsidRDefault="003B6B3C" w:rsidP="003B6B3C">
      <w:pPr>
        <w:pStyle w:val="ad"/>
        <w:rPr>
          <w:rFonts w:ascii="Arial" w:hAnsi="Arial"/>
          <w:noProof w:val="0"/>
        </w:rPr>
      </w:pPr>
    </w:p>
    <w:p w:rsidR="003B6B3C" w:rsidRDefault="002B4F33" w:rsidP="003B6B3C">
      <w:pPr>
        <w:pStyle w:val="ad"/>
        <w:numPr>
          <w:ilvl w:val="0"/>
          <w:numId w:val="3"/>
        </w:numPr>
        <w:spacing w:line="360" w:lineRule="auto"/>
        <w:jc w:val="both"/>
        <w:rPr>
          <w:rFonts w:ascii="Arial" w:hAnsi="Arial"/>
          <w:noProof w:val="0"/>
          <w:rtl/>
        </w:rPr>
      </w:pPr>
      <w:r>
        <w:rPr>
          <w:rFonts w:ascii="Arial" w:hAnsi="Arial"/>
          <w:noProof w:val="0"/>
          <w:rtl/>
        </w:rPr>
        <w:t xml:space="preserve">התובעים לא פירטו כהלכה את הנדרש בסעיפי הטעות וההטעיה. הם לא נימקו בצורה מספקת כיצד הסעיפים מתקיימים. ניכר כי מדובר בעילה חלופית נוספת. מאחר וגם ציינתי כי יש לתת משקל מועט הן לתמלול והן לחוו"ד המומחה לאור המועד בו ניתנה ומצבו של האב באותה העת – אין די בראיות אלה על מנת להוכיח את התקיימות העילות הנ"ל לביטול ההעברה. </w:t>
      </w:r>
    </w:p>
    <w:p w:rsidR="003B6B3C" w:rsidRDefault="003B6B3C" w:rsidP="003B6B3C">
      <w:pPr>
        <w:spacing w:line="360" w:lineRule="auto"/>
        <w:jc w:val="both"/>
        <w:rPr>
          <w:b/>
          <w:bCs/>
          <w:u w:val="single"/>
        </w:rPr>
      </w:pPr>
    </w:p>
    <w:p w:rsidR="003B6B3C" w:rsidRDefault="002B4F33" w:rsidP="003B6B3C">
      <w:pPr>
        <w:pStyle w:val="ad"/>
        <w:numPr>
          <w:ilvl w:val="0"/>
          <w:numId w:val="3"/>
        </w:numPr>
        <w:spacing w:line="360" w:lineRule="auto"/>
        <w:jc w:val="both"/>
        <w:rPr>
          <w:b/>
          <w:bCs/>
          <w:u w:val="single"/>
          <w:rtl/>
        </w:rPr>
      </w:pPr>
      <w:r>
        <w:rPr>
          <w:rFonts w:ascii="Arial" w:hAnsi="Arial"/>
          <w:noProof w:val="0"/>
          <w:rtl/>
        </w:rPr>
        <w:t>אשר</w:t>
      </w:r>
      <w:r>
        <w:rPr>
          <w:rtl/>
        </w:rPr>
        <w:t xml:space="preserve"> על כן לאחר בחינת טענות הצדדים בעניין זה, דין שתי עילות אלה להידחות.</w:t>
      </w:r>
    </w:p>
    <w:p w:rsidR="003B6B3C" w:rsidRDefault="003B6B3C" w:rsidP="003B6B3C">
      <w:pPr>
        <w:pStyle w:val="ad"/>
        <w:spacing w:line="360" w:lineRule="auto"/>
        <w:ind w:left="567"/>
        <w:jc w:val="both"/>
        <w:rPr>
          <w:rtl/>
        </w:rPr>
      </w:pPr>
    </w:p>
    <w:p w:rsidR="003B6B3C" w:rsidRDefault="003B6B3C" w:rsidP="003B6B3C">
      <w:pPr>
        <w:pStyle w:val="ad"/>
        <w:spacing w:line="360" w:lineRule="auto"/>
        <w:ind w:left="567"/>
        <w:jc w:val="both"/>
        <w:rPr>
          <w:rtl/>
        </w:rPr>
      </w:pPr>
    </w:p>
    <w:p w:rsidR="003B6B3C" w:rsidRDefault="003B6B3C" w:rsidP="003B6B3C">
      <w:pPr>
        <w:pStyle w:val="ad"/>
        <w:spacing w:line="360" w:lineRule="auto"/>
        <w:ind w:left="567"/>
        <w:jc w:val="both"/>
      </w:pPr>
    </w:p>
    <w:p w:rsidR="003B6B3C" w:rsidRDefault="002B4F33" w:rsidP="003B6B3C">
      <w:pPr>
        <w:pStyle w:val="ad"/>
        <w:spacing w:line="360" w:lineRule="auto"/>
        <w:ind w:left="0"/>
        <w:jc w:val="both"/>
        <w:rPr>
          <w:rFonts w:ascii="David" w:hAnsi="David"/>
          <w:b/>
          <w:bCs/>
          <w:u w:val="single"/>
        </w:rPr>
      </w:pPr>
      <w:r>
        <w:rPr>
          <w:rFonts w:ascii="David" w:hAnsi="David"/>
          <w:b/>
          <w:bCs/>
          <w:u w:val="single"/>
          <w:rtl/>
        </w:rPr>
        <w:t xml:space="preserve">2). התביעה למתן פסק דין הצהרתי כי 3 דירות הרשומות ע"ש הנתבעים שייכות לעיזבון האב המנוח </w:t>
      </w:r>
    </w:p>
    <w:p w:rsidR="003B6B3C" w:rsidRDefault="003B6B3C" w:rsidP="003B6B3C">
      <w:pPr>
        <w:spacing w:line="360" w:lineRule="auto"/>
        <w:jc w:val="both"/>
      </w:pPr>
    </w:p>
    <w:p w:rsidR="003B6B3C" w:rsidRDefault="002B4F33" w:rsidP="003B6B3C">
      <w:pPr>
        <w:pStyle w:val="ad"/>
        <w:numPr>
          <w:ilvl w:val="0"/>
          <w:numId w:val="3"/>
        </w:numPr>
        <w:spacing w:line="360" w:lineRule="auto"/>
        <w:jc w:val="both"/>
        <w:rPr>
          <w:rtl/>
        </w:rPr>
      </w:pPr>
      <w:r>
        <w:rPr>
          <w:rtl/>
        </w:rPr>
        <w:lastRenderedPageBreak/>
        <w:t xml:space="preserve">לטענת התובעים הדירות הרשומות ע"ש הנתבעים באותו בניין של דירת המגורים נקנו מכספי האב והן למעשה שייכות לעיזבונו. על כן ביקשו כי יינתן סעד הצהרתי הקובע כי 3 הדירות הן של האב למרות הרישום ולהורות כי הן חלק מעיזבונו. </w:t>
      </w:r>
    </w:p>
    <w:p w:rsidR="003B6B3C" w:rsidRDefault="003B6B3C" w:rsidP="003B6B3C">
      <w:pPr>
        <w:pStyle w:val="ad"/>
        <w:spacing w:line="360" w:lineRule="auto"/>
        <w:ind w:left="567"/>
        <w:jc w:val="both"/>
      </w:pPr>
    </w:p>
    <w:p w:rsidR="003B6B3C" w:rsidRDefault="002B4F33" w:rsidP="003B6B3C">
      <w:pPr>
        <w:pStyle w:val="ad"/>
        <w:numPr>
          <w:ilvl w:val="0"/>
          <w:numId w:val="3"/>
        </w:numPr>
        <w:spacing w:line="360" w:lineRule="auto"/>
        <w:jc w:val="both"/>
      </w:pPr>
      <w:r>
        <w:rPr>
          <w:rtl/>
        </w:rPr>
        <w:t xml:space="preserve">אין מחלוקת כי הדירות בבניין – תת חלקה </w:t>
      </w:r>
      <w:r w:rsidR="00256B06">
        <w:t>X</w:t>
      </w:r>
      <w:r>
        <w:rPr>
          <w:rtl/>
        </w:rPr>
        <w:t xml:space="preserve">, </w:t>
      </w:r>
      <w:r w:rsidR="00256B06">
        <w:t>X</w:t>
      </w:r>
      <w:r w:rsidR="00256B06">
        <w:rPr>
          <w:rtl/>
        </w:rPr>
        <w:t xml:space="preserve"> </w:t>
      </w:r>
      <w:r>
        <w:rPr>
          <w:rtl/>
        </w:rPr>
        <w:t>ו-</w:t>
      </w:r>
      <w:r w:rsidR="00256B06">
        <w:t>X</w:t>
      </w:r>
      <w:r w:rsidR="00256B06">
        <w:rPr>
          <w:rtl/>
        </w:rPr>
        <w:t xml:space="preserve"> </w:t>
      </w:r>
      <w:r>
        <w:rPr>
          <w:rtl/>
        </w:rPr>
        <w:t xml:space="preserve">– רשומות ע"ש הנתבעים בחלקים שווים. הדירות נקנו על ידי הנתבעים. לטענת </w:t>
      </w:r>
      <w:r>
        <w:rPr>
          <w:b/>
          <w:bCs/>
          <w:rtl/>
        </w:rPr>
        <w:t>התובעים</w:t>
      </w:r>
      <w:r>
        <w:rPr>
          <w:rtl/>
        </w:rPr>
        <w:t xml:space="preserve"> מדובר בכספים של האב המנוח שהנתבעים נטלו ממנו. לטענת </w:t>
      </w:r>
      <w:r>
        <w:rPr>
          <w:b/>
          <w:bCs/>
          <w:rtl/>
        </w:rPr>
        <w:t>הנתבעים</w:t>
      </w:r>
      <w:r>
        <w:rPr>
          <w:rtl/>
        </w:rPr>
        <w:t xml:space="preserve"> מדובר בכספים שלהם שמקורם ממכירה של דירה אחרת שהייתה בבעלותם. </w:t>
      </w:r>
    </w:p>
    <w:p w:rsidR="003B6B3C" w:rsidRDefault="003B6B3C" w:rsidP="003B6B3C">
      <w:pPr>
        <w:pStyle w:val="ad"/>
      </w:pPr>
    </w:p>
    <w:p w:rsidR="003B6B3C" w:rsidRDefault="002B4F33" w:rsidP="003B6B3C">
      <w:pPr>
        <w:pStyle w:val="ad"/>
        <w:numPr>
          <w:ilvl w:val="0"/>
          <w:numId w:val="3"/>
        </w:numPr>
        <w:spacing w:line="360" w:lineRule="auto"/>
        <w:jc w:val="both"/>
        <w:rPr>
          <w:rtl/>
        </w:rPr>
      </w:pPr>
      <w:r>
        <w:rPr>
          <w:rtl/>
        </w:rPr>
        <w:t xml:space="preserve">בסיכומים טענו </w:t>
      </w:r>
      <w:r>
        <w:rPr>
          <w:b/>
          <w:bCs/>
          <w:rtl/>
        </w:rPr>
        <w:t>התובעים</w:t>
      </w:r>
      <w:r>
        <w:rPr>
          <w:rtl/>
        </w:rPr>
        <w:t xml:space="preserve"> כי מאחר והנתבעים לא המציאו אסמכתאות המוכיחות כי הם רכשו את הדירות ומה מקור המימון לכך – יש לזקוף מחדל זה לחובתם. לטענת התובעים לנתבעים לא הייתה יכולת כלכלית לממן את רכישת 3 הדירות. </w:t>
      </w:r>
    </w:p>
    <w:p w:rsidR="003B6B3C" w:rsidRDefault="002B4F33" w:rsidP="003B6B3C">
      <w:pPr>
        <w:pStyle w:val="ad"/>
        <w:spacing w:line="360" w:lineRule="auto"/>
        <w:ind w:left="567"/>
        <w:jc w:val="both"/>
      </w:pPr>
      <w:r>
        <w:rPr>
          <w:rtl/>
        </w:rPr>
        <w:t xml:space="preserve">אין בידי לקבל טענה זו. </w:t>
      </w:r>
    </w:p>
    <w:p w:rsidR="003B6B3C" w:rsidRDefault="003B6B3C" w:rsidP="003B6B3C">
      <w:pPr>
        <w:pStyle w:val="ad"/>
      </w:pPr>
    </w:p>
    <w:p w:rsidR="003B6B3C" w:rsidRDefault="002B4F33" w:rsidP="003B6B3C">
      <w:pPr>
        <w:pStyle w:val="ad"/>
        <w:numPr>
          <w:ilvl w:val="0"/>
          <w:numId w:val="3"/>
        </w:numPr>
        <w:spacing w:line="360" w:lineRule="auto"/>
        <w:jc w:val="both"/>
        <w:rPr>
          <w:rtl/>
        </w:rPr>
      </w:pPr>
      <w:r>
        <w:rPr>
          <w:rtl/>
        </w:rPr>
        <w:t xml:space="preserve">הנטל להוכחת התביעה הוא על התובעים. טענת התובעים היא שמדובר היה בכספי האב וכי יש לקבוע כי הזכויות הן של האב. התובעים לא הוכיחו פוזיטיבית את טענותיהם. עיקר טענותיהם היה כי הנתבעים לא הוכיחו את מקורות המימון שלהם. אולם קבלת טענה זו משמעותה היפוך הנטל. הנתבעים אינם צריכם להוכיח כי הדירות הרשומות על שמם ובחזקתם הם שלהם. </w:t>
      </w:r>
    </w:p>
    <w:p w:rsidR="003B6B3C" w:rsidRDefault="003B6B3C" w:rsidP="003B6B3C">
      <w:pPr>
        <w:pStyle w:val="ad"/>
        <w:spacing w:line="360" w:lineRule="auto"/>
        <w:ind w:left="567"/>
        <w:jc w:val="both"/>
      </w:pPr>
    </w:p>
    <w:p w:rsidR="003B6B3C" w:rsidRDefault="002B4F33" w:rsidP="003B6B3C">
      <w:pPr>
        <w:pStyle w:val="ad"/>
        <w:numPr>
          <w:ilvl w:val="0"/>
          <w:numId w:val="3"/>
        </w:numPr>
        <w:spacing w:line="360" w:lineRule="auto"/>
        <w:jc w:val="both"/>
      </w:pPr>
      <w:r>
        <w:rPr>
          <w:rtl/>
        </w:rPr>
        <w:t>הנתבעים הדגישו עוד בכתב ההגנה (סעיף 62) כי לא רכשו את הנכס מכספיו של האב ואין מדובר ב-3 דירות אלא בדירה אחת רשומה כ-3 חלקות.</w:t>
      </w:r>
    </w:p>
    <w:p w:rsidR="003B6B3C" w:rsidRDefault="003B6B3C" w:rsidP="003B6B3C">
      <w:pPr>
        <w:pStyle w:val="ad"/>
      </w:pPr>
    </w:p>
    <w:p w:rsidR="003B6B3C" w:rsidRDefault="002B4F33" w:rsidP="003B6B3C">
      <w:pPr>
        <w:pStyle w:val="ad"/>
        <w:numPr>
          <w:ilvl w:val="0"/>
          <w:numId w:val="3"/>
        </w:numPr>
        <w:spacing w:line="360" w:lineRule="auto"/>
        <w:jc w:val="both"/>
        <w:rPr>
          <w:rtl/>
        </w:rPr>
      </w:pPr>
      <w:r>
        <w:rPr>
          <w:rtl/>
        </w:rPr>
        <w:t xml:space="preserve">לא הובהר כהלכה בהליך האם מדובר אכן ב-3 דירות או דירה אחת מחולקת. </w:t>
      </w:r>
    </w:p>
    <w:p w:rsidR="003B6B3C" w:rsidRDefault="003B6B3C" w:rsidP="003B6B3C">
      <w:pPr>
        <w:pStyle w:val="ad"/>
        <w:spacing w:line="360" w:lineRule="auto"/>
        <w:ind w:left="567"/>
        <w:jc w:val="both"/>
      </w:pPr>
    </w:p>
    <w:p w:rsidR="003B6B3C" w:rsidRDefault="002B4F33" w:rsidP="003B6B3C">
      <w:pPr>
        <w:pStyle w:val="ad"/>
        <w:numPr>
          <w:ilvl w:val="0"/>
          <w:numId w:val="3"/>
        </w:numPr>
        <w:spacing w:line="360" w:lineRule="auto"/>
        <w:jc w:val="both"/>
      </w:pPr>
      <w:r>
        <w:rPr>
          <w:rtl/>
        </w:rPr>
        <w:t xml:space="preserve">מנסח הטאבו עולה כי הרישום על שם  הנתבעים בוצע עוד בשנת 2009 (נספח 3 לכתב התביעה). על כן השיהוי והנזק הראייתי שנגרם בהגשת התביעה שנים על גבי שנים לאחר מכן יורד לשורשי התביעה. לגבי רכיב זה לא היה הסבר משכנע כלל לנושא השיהוי. </w:t>
      </w:r>
    </w:p>
    <w:p w:rsidR="003B6B3C" w:rsidRDefault="003B6B3C" w:rsidP="003B6B3C">
      <w:pPr>
        <w:pStyle w:val="ad"/>
      </w:pPr>
    </w:p>
    <w:p w:rsidR="003B6B3C" w:rsidRDefault="002B4F33" w:rsidP="003B6B3C">
      <w:pPr>
        <w:pStyle w:val="ad"/>
        <w:numPr>
          <w:ilvl w:val="0"/>
          <w:numId w:val="3"/>
        </w:numPr>
        <w:spacing w:line="360" w:lineRule="auto"/>
        <w:jc w:val="both"/>
        <w:rPr>
          <w:rtl/>
        </w:rPr>
      </w:pPr>
      <w:r>
        <w:rPr>
          <w:rtl/>
        </w:rPr>
        <w:t xml:space="preserve">התובעים לא הוכיחו ולא פירטו כל זיקה של האב לדירות אלה: לא מימון על ידי האב, לא רישום של האב כבעל הזכויות, לא המשך תשלומים על ידו, לא קבלת שכירות, לא קבלת החלטות לגבי הדירות הללו ולא החזקה בהן. אין כל ראיה מזמן אמת ואין כל עד חיצוני למשפחה התומך בטענות לגבי הדירות הללו. </w:t>
      </w:r>
    </w:p>
    <w:p w:rsidR="003B6B3C" w:rsidRDefault="003B6B3C" w:rsidP="003B6B3C">
      <w:pPr>
        <w:pStyle w:val="ad"/>
      </w:pPr>
    </w:p>
    <w:p w:rsidR="003B6B3C" w:rsidRDefault="002B4F33" w:rsidP="003B6B3C">
      <w:pPr>
        <w:pStyle w:val="ad"/>
        <w:numPr>
          <w:ilvl w:val="0"/>
          <w:numId w:val="3"/>
        </w:numPr>
        <w:spacing w:line="360" w:lineRule="auto"/>
        <w:jc w:val="both"/>
        <w:rPr>
          <w:rtl/>
        </w:rPr>
      </w:pPr>
      <w:r>
        <w:rPr>
          <w:rtl/>
        </w:rPr>
        <w:t xml:space="preserve">בכל גרסת התובעים לגבי הדירות הייתה עמימות של המועדים ואי פירוט מלא ומספק של העובדות שהם סבורים שהתקיימו. </w:t>
      </w:r>
    </w:p>
    <w:p w:rsidR="003B6B3C" w:rsidRDefault="003B6B3C" w:rsidP="003B6B3C">
      <w:pPr>
        <w:pStyle w:val="ad"/>
      </w:pPr>
    </w:p>
    <w:p w:rsidR="003B6B3C" w:rsidRDefault="002B4F33" w:rsidP="003B6B3C">
      <w:pPr>
        <w:pStyle w:val="ad"/>
        <w:numPr>
          <w:ilvl w:val="0"/>
          <w:numId w:val="3"/>
        </w:numPr>
        <w:spacing w:line="360" w:lineRule="auto"/>
        <w:jc w:val="both"/>
        <w:rPr>
          <w:noProof w:val="0"/>
          <w:rtl/>
        </w:rPr>
      </w:pPr>
      <w:r>
        <w:rPr>
          <w:rtl/>
        </w:rPr>
        <w:lastRenderedPageBreak/>
        <w:t xml:space="preserve">בחקירת </w:t>
      </w:r>
      <w:r>
        <w:rPr>
          <w:b/>
          <w:bCs/>
          <w:rtl/>
        </w:rPr>
        <w:t>הנתבע</w:t>
      </w:r>
      <w:r>
        <w:rPr>
          <w:rtl/>
        </w:rPr>
        <w:t xml:space="preserve"> הוא נשאל לגבי מכירת הדירה שלטענתם נמכרה ואפשרה את רכישת הדירות בבניין דירת המגורים. הנתבע מסר פרטים כי הדירה נמכרה בשנת 2007 בסכום של 115,000$ ומהתמורה כוסו גם החובות </w:t>
      </w:r>
      <w:r>
        <w:rPr>
          <w:noProof w:val="0"/>
          <w:rtl/>
        </w:rPr>
        <w:t xml:space="preserve">(ראו: פרוט' מיום 25.5.22, עמ' 102 שורות 22-30). הנתבע מסר פרטים והשיב על כל השאלות בעניין זה בפירוט ויש לתת אמון בתשובותיו בעניין זה. בהמשך החקירה (עמ' 106) תיאר כיצד רכש את הדירות בבניין המגורים, כי אין מדובר במספר דירות אלא בדירה אחת שחולקה ושהתשלום הכולל היה 560,000 ₪ והוא שילם מהכספים שנותרו מהדירה והכחיש כי האב נתן להם כסף לכך (עמ' 107-108). </w:t>
      </w:r>
    </w:p>
    <w:p w:rsidR="003B6B3C" w:rsidRDefault="003B6B3C" w:rsidP="003B6B3C">
      <w:pPr>
        <w:pStyle w:val="ad"/>
      </w:pPr>
    </w:p>
    <w:p w:rsidR="003B6B3C" w:rsidRDefault="002B4F33" w:rsidP="003B6B3C">
      <w:pPr>
        <w:pStyle w:val="ad"/>
        <w:numPr>
          <w:ilvl w:val="0"/>
          <w:numId w:val="3"/>
        </w:numPr>
        <w:spacing w:line="360" w:lineRule="auto"/>
        <w:jc w:val="both"/>
        <w:rPr>
          <w:rtl/>
        </w:rPr>
      </w:pPr>
      <w:r>
        <w:rPr>
          <w:rtl/>
        </w:rPr>
        <w:t xml:space="preserve">יצויין כי לא הוגשה גם כל בקשה לגילוי מסמכים או בירור אופן ביצוע הרכישה או מימונה במסגרת ההליך ע"י התובעים. </w:t>
      </w:r>
    </w:p>
    <w:p w:rsidR="003B6B3C" w:rsidRDefault="003B6B3C" w:rsidP="003B6B3C">
      <w:pPr>
        <w:pStyle w:val="ad"/>
      </w:pPr>
    </w:p>
    <w:p w:rsidR="003B6B3C" w:rsidRDefault="002B4F33" w:rsidP="003B6B3C">
      <w:pPr>
        <w:pStyle w:val="ad"/>
        <w:numPr>
          <w:ilvl w:val="0"/>
          <w:numId w:val="3"/>
        </w:numPr>
        <w:spacing w:line="360" w:lineRule="auto"/>
        <w:jc w:val="both"/>
        <w:rPr>
          <w:rtl/>
        </w:rPr>
      </w:pPr>
      <w:r>
        <w:rPr>
          <w:rtl/>
        </w:rPr>
        <w:t xml:space="preserve">גם בצוואת האב משנת 2011, שאמנם אינה לדיון כעת, אבל בה מפרט האב את נכסיו הוא מציין רק את דירת המגורים והמגרשים ואינו מאזכר את הדירות. יש בכך לכל הפחות להוכיח את הלך המחשבה של האב לגבי הדירות הללו. </w:t>
      </w:r>
    </w:p>
    <w:p w:rsidR="003B6B3C" w:rsidRDefault="003B6B3C" w:rsidP="003B6B3C">
      <w:pPr>
        <w:pStyle w:val="ad"/>
        <w:rPr>
          <w:rtl/>
        </w:rPr>
      </w:pPr>
    </w:p>
    <w:p w:rsidR="003B6B3C" w:rsidRDefault="002B4F33" w:rsidP="003B6B3C">
      <w:pPr>
        <w:pStyle w:val="ad"/>
        <w:numPr>
          <w:ilvl w:val="0"/>
          <w:numId w:val="3"/>
        </w:numPr>
        <w:spacing w:line="360" w:lineRule="auto"/>
        <w:jc w:val="both"/>
        <w:rPr>
          <w:rFonts w:ascii="David" w:hAnsi="David"/>
          <w:rtl/>
        </w:rPr>
      </w:pPr>
      <w:r>
        <w:rPr>
          <w:rtl/>
        </w:rPr>
        <w:t>בנוסף, לטענת התובעים בשל ההסכם שנחתם בין הנתבעים לתובע 4 המקנה לו זכות מגורים באחת הדירות וכאשר האב הוא עד לחתימה (צורף כנספח 4 לכתב התביעה)</w:t>
      </w:r>
      <w:r>
        <w:rPr>
          <w:rFonts w:ascii="David" w:hAnsi="David"/>
          <w:rtl/>
        </w:rPr>
        <w:t xml:space="preserve"> הדבר מוכיח את זיקתו של האב לדירה. לטענת התובעים, הנתבעת התחייבה בפני האב כי בשל כך שהדירה נרכשה מכספיו היא תשמש את התובע 4 למגוריו עד 120. לטענת התובעים, הנתבעת לא הייתה מתחייבת לכך לולא היה מדובר בכספי המנוח ובדירתו בפועל. </w:t>
      </w:r>
    </w:p>
    <w:p w:rsidR="003B6B3C" w:rsidRDefault="003B6B3C" w:rsidP="003B6B3C">
      <w:pPr>
        <w:pStyle w:val="ad"/>
        <w:rPr>
          <w:rFonts w:ascii="David" w:hAnsi="David"/>
        </w:rPr>
      </w:pPr>
    </w:p>
    <w:p w:rsidR="003B6B3C" w:rsidRDefault="002B4F33" w:rsidP="003B6B3C">
      <w:pPr>
        <w:pStyle w:val="ad"/>
        <w:numPr>
          <w:ilvl w:val="0"/>
          <w:numId w:val="3"/>
        </w:numPr>
        <w:spacing w:line="360" w:lineRule="auto"/>
        <w:jc w:val="both"/>
        <w:rPr>
          <w:rFonts w:ascii="David" w:hAnsi="David"/>
          <w:rtl/>
        </w:rPr>
      </w:pPr>
      <w:r>
        <w:rPr>
          <w:rFonts w:ascii="David" w:hAnsi="David"/>
          <w:rtl/>
        </w:rPr>
        <w:t xml:space="preserve">טענות אלה של התובעים הן כולן טענות סברה ואווירה. אין הוכחה להן ולו בראשיתן. </w:t>
      </w:r>
    </w:p>
    <w:p w:rsidR="003B6B3C" w:rsidRDefault="003B6B3C" w:rsidP="003B6B3C">
      <w:pPr>
        <w:pStyle w:val="ad"/>
        <w:rPr>
          <w:rFonts w:ascii="David" w:hAnsi="David"/>
        </w:rPr>
      </w:pPr>
    </w:p>
    <w:p w:rsidR="003B6B3C" w:rsidRDefault="002B4F33" w:rsidP="003B6B3C">
      <w:pPr>
        <w:pStyle w:val="ad"/>
        <w:numPr>
          <w:ilvl w:val="0"/>
          <w:numId w:val="3"/>
        </w:numPr>
        <w:spacing w:line="360" w:lineRule="auto"/>
        <w:jc w:val="both"/>
        <w:rPr>
          <w:rFonts w:ascii="David" w:hAnsi="David"/>
          <w:rtl/>
        </w:rPr>
      </w:pPr>
      <w:r>
        <w:rPr>
          <w:rFonts w:ascii="David" w:hAnsi="David"/>
          <w:rtl/>
        </w:rPr>
        <w:t xml:space="preserve">יתרה מכך, בחינת נוסחו של ההסכם בין הנתבעת לתובע 4 מעלה שאין בו שום זיקה של האב לדירות והוא כל כולו נטוע במערכת היחסים שבין התובע 4 לנתבעים. ההסכם לא רק שלא מחזק את טענות התובעים אלא מחליש אותן. האב רק חתם כנוכח בעת החתימה. הדבר סביר בשל מערכת היחסים המורכבת הקשורה לתובע 4. אין בה להוכיח ולעמוד בנטל המשמעותי של הוכחת הזכויות בפועל ב-3 נכסי מקרקעין. </w:t>
      </w:r>
    </w:p>
    <w:p w:rsidR="003B6B3C" w:rsidRDefault="003B6B3C" w:rsidP="003B6B3C">
      <w:pPr>
        <w:pStyle w:val="ad"/>
        <w:rPr>
          <w:rFonts w:ascii="David" w:hAnsi="David"/>
          <w:rtl/>
        </w:rPr>
      </w:pPr>
    </w:p>
    <w:p w:rsidR="003B6B3C" w:rsidRDefault="003B6B3C" w:rsidP="003B6B3C">
      <w:pPr>
        <w:pStyle w:val="ad"/>
        <w:rPr>
          <w:rFonts w:ascii="David" w:hAnsi="David"/>
          <w:rtl/>
        </w:rPr>
      </w:pPr>
    </w:p>
    <w:p w:rsidR="003B6B3C" w:rsidRDefault="003B6B3C" w:rsidP="003B6B3C">
      <w:pPr>
        <w:pStyle w:val="ad"/>
        <w:rPr>
          <w:rFonts w:ascii="David" w:hAnsi="David"/>
          <w:rtl/>
        </w:rPr>
      </w:pPr>
    </w:p>
    <w:p w:rsidR="003B6B3C" w:rsidRDefault="003B6B3C" w:rsidP="003B6B3C">
      <w:pPr>
        <w:pStyle w:val="ad"/>
        <w:rPr>
          <w:rFonts w:ascii="David" w:hAnsi="David"/>
          <w:rtl/>
        </w:rPr>
      </w:pPr>
    </w:p>
    <w:p w:rsidR="003B6B3C" w:rsidRDefault="003B6B3C" w:rsidP="003B6B3C">
      <w:pPr>
        <w:pStyle w:val="ad"/>
        <w:rPr>
          <w:rFonts w:ascii="David" w:hAnsi="David"/>
          <w:rtl/>
        </w:rPr>
      </w:pPr>
    </w:p>
    <w:p w:rsidR="003B6B3C" w:rsidRDefault="003B6B3C" w:rsidP="003B6B3C">
      <w:pPr>
        <w:pStyle w:val="ad"/>
        <w:rPr>
          <w:rFonts w:ascii="David" w:hAnsi="David"/>
          <w:rtl/>
        </w:rPr>
      </w:pPr>
    </w:p>
    <w:p w:rsidR="003B6B3C" w:rsidRDefault="003B6B3C" w:rsidP="003B6B3C">
      <w:pPr>
        <w:pStyle w:val="ad"/>
        <w:rPr>
          <w:rFonts w:ascii="David" w:hAnsi="David"/>
          <w:rtl/>
        </w:rPr>
      </w:pPr>
    </w:p>
    <w:p w:rsidR="003B6B3C" w:rsidRDefault="003B6B3C" w:rsidP="003B6B3C">
      <w:pPr>
        <w:pStyle w:val="ad"/>
        <w:rPr>
          <w:rFonts w:ascii="David" w:hAnsi="David"/>
          <w:rtl/>
        </w:rPr>
      </w:pPr>
    </w:p>
    <w:p w:rsidR="003B6B3C" w:rsidRDefault="003B6B3C" w:rsidP="003B6B3C">
      <w:pPr>
        <w:pStyle w:val="ad"/>
        <w:rPr>
          <w:rFonts w:ascii="David" w:hAnsi="David"/>
        </w:rPr>
      </w:pPr>
    </w:p>
    <w:p w:rsidR="003B6B3C" w:rsidRDefault="002B4F33" w:rsidP="003B6B3C">
      <w:pPr>
        <w:pStyle w:val="ad"/>
        <w:numPr>
          <w:ilvl w:val="0"/>
          <w:numId w:val="3"/>
        </w:numPr>
        <w:spacing w:line="360" w:lineRule="auto"/>
        <w:jc w:val="both"/>
        <w:rPr>
          <w:rFonts w:ascii="David" w:hAnsi="David"/>
          <w:rtl/>
        </w:rPr>
      </w:pPr>
      <w:r>
        <w:rPr>
          <w:rFonts w:ascii="David" w:hAnsi="David"/>
          <w:rtl/>
        </w:rPr>
        <w:t xml:space="preserve">בכתב ההגנה פירטה הנתבעת את גרסתה לגבי חתימת ההסכם וגרסה זו לא נסתרה: </w:t>
      </w:r>
    </w:p>
    <w:p w:rsidR="003B6B3C" w:rsidRDefault="003B6B3C" w:rsidP="003B6B3C">
      <w:pPr>
        <w:pStyle w:val="ad"/>
        <w:rPr>
          <w:rFonts w:ascii="David" w:hAnsi="David"/>
        </w:rPr>
      </w:pPr>
    </w:p>
    <w:p w:rsidR="003B6B3C" w:rsidRDefault="00256B06" w:rsidP="003B6B3C">
      <w:pPr>
        <w:spacing w:line="360" w:lineRule="auto"/>
        <w:ind w:left="360"/>
        <w:jc w:val="both"/>
        <w:rPr>
          <w:rFonts w:ascii="David" w:hAnsi="David"/>
          <w:rtl/>
        </w:rPr>
      </w:pPr>
      <w:r w:rsidRPr="00256B06">
        <w:rPr>
          <w:rFonts w:ascii="David" w:hAnsi="David"/>
          <w:rtl/>
        </w:rPr>
        <w:lastRenderedPageBreak/>
        <w:drawing>
          <wp:inline distT="0" distB="0" distL="0" distR="0">
            <wp:extent cx="4526280" cy="1206500"/>
            <wp:effectExtent l="0" t="0" r="7620" b="0"/>
            <wp:docPr id="483919342"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919342" name=""/>
                    <pic:cNvPicPr/>
                  </pic:nvPicPr>
                  <pic:blipFill>
                    <a:blip r:embed="rId19"/>
                    <a:srcRect t="3061" r="2422"/>
                    <a:stretch>
                      <a:fillRect/>
                    </a:stretch>
                  </pic:blipFill>
                  <pic:spPr bwMode="auto">
                    <a:xfrm>
                      <a:off x="0" y="0"/>
                      <a:ext cx="4532702" cy="1208212"/>
                    </a:xfrm>
                    <a:prstGeom prst="rect">
                      <a:avLst/>
                    </a:prstGeom>
                    <a:ln>
                      <a:noFill/>
                    </a:ln>
                    <a:extLst>
                      <a:ext uri="{53640926-AAD7-44D8-BBD7-CCE9431645EC}">
                        <a14:shadowObscured xmlns:a14="http://schemas.microsoft.com/office/drawing/2010/main"/>
                      </a:ext>
                    </a:extLst>
                  </pic:spPr>
                </pic:pic>
              </a:graphicData>
            </a:graphic>
          </wp:inline>
        </w:drawing>
      </w:r>
    </w:p>
    <w:p w:rsidR="003B6B3C" w:rsidRDefault="003B6B3C" w:rsidP="003B6B3C">
      <w:pPr>
        <w:pStyle w:val="ad"/>
        <w:rPr>
          <w:rFonts w:ascii="David" w:hAnsi="David"/>
        </w:rPr>
      </w:pPr>
    </w:p>
    <w:p w:rsidR="003B6B3C" w:rsidRDefault="002B4F33" w:rsidP="003B6B3C">
      <w:pPr>
        <w:pStyle w:val="ad"/>
        <w:numPr>
          <w:ilvl w:val="0"/>
          <w:numId w:val="3"/>
        </w:numPr>
        <w:spacing w:line="360" w:lineRule="auto"/>
        <w:jc w:val="both"/>
        <w:rPr>
          <w:rFonts w:ascii="David" w:hAnsi="David"/>
          <w:rtl/>
        </w:rPr>
      </w:pPr>
      <w:r>
        <w:rPr>
          <w:rFonts w:ascii="David" w:hAnsi="David"/>
          <w:rtl/>
        </w:rPr>
        <w:t xml:space="preserve">העולה מכך כי התובעים לא הוכיחו את הדברים הנדרשים להעתרות לסעד שהתבקש על ידם. </w:t>
      </w:r>
    </w:p>
    <w:p w:rsidR="003B6B3C" w:rsidRDefault="003B6B3C" w:rsidP="003B6B3C">
      <w:pPr>
        <w:pStyle w:val="ad"/>
        <w:spacing w:line="360" w:lineRule="auto"/>
        <w:ind w:left="567"/>
        <w:jc w:val="both"/>
        <w:rPr>
          <w:rFonts w:ascii="David" w:hAnsi="David"/>
          <w:b/>
          <w:bCs/>
        </w:rPr>
      </w:pPr>
    </w:p>
    <w:p w:rsidR="003B6B3C" w:rsidRDefault="002B4F33" w:rsidP="003B6B3C">
      <w:pPr>
        <w:pStyle w:val="ad"/>
        <w:numPr>
          <w:ilvl w:val="0"/>
          <w:numId w:val="3"/>
        </w:numPr>
        <w:spacing w:line="360" w:lineRule="auto"/>
        <w:jc w:val="both"/>
        <w:rPr>
          <w:rFonts w:ascii="David" w:hAnsi="David"/>
          <w:b/>
          <w:bCs/>
        </w:rPr>
      </w:pPr>
      <w:r>
        <w:rPr>
          <w:b/>
          <w:bCs/>
          <w:rtl/>
        </w:rPr>
        <w:t>על כן סעד</w:t>
      </w:r>
      <w:r>
        <w:rPr>
          <w:rFonts w:ascii="David" w:hAnsi="David"/>
          <w:b/>
          <w:bCs/>
          <w:rtl/>
        </w:rPr>
        <w:t xml:space="preserve"> התביעה למתן פסק דין הצהרתי כי 3 דירות הרשומות ע"ש הנתבעים שייכות לעיזבון האב המנוח – נדחה. </w:t>
      </w:r>
    </w:p>
    <w:p w:rsidR="003B6B3C" w:rsidRDefault="003B6B3C" w:rsidP="003B6B3C">
      <w:pPr>
        <w:spacing w:line="360" w:lineRule="auto"/>
        <w:jc w:val="both"/>
        <w:rPr>
          <w:b/>
          <w:bCs/>
          <w:u w:val="single"/>
        </w:rPr>
      </w:pPr>
    </w:p>
    <w:p w:rsidR="003B6B3C" w:rsidRDefault="002B4F33" w:rsidP="003B6B3C">
      <w:pPr>
        <w:spacing w:line="360" w:lineRule="auto"/>
        <w:jc w:val="both"/>
        <w:rPr>
          <w:b/>
          <w:bCs/>
          <w:u w:val="single"/>
          <w:rtl/>
        </w:rPr>
      </w:pPr>
      <w:r>
        <w:rPr>
          <w:b/>
          <w:bCs/>
          <w:u w:val="single"/>
          <w:rtl/>
        </w:rPr>
        <w:t>3). הרחבת חזית בסעדי התביעה</w:t>
      </w:r>
    </w:p>
    <w:p w:rsidR="003B6B3C" w:rsidRDefault="003B6B3C" w:rsidP="003B6B3C">
      <w:pPr>
        <w:spacing w:line="360" w:lineRule="auto"/>
        <w:jc w:val="both"/>
        <w:rPr>
          <w:b/>
          <w:bCs/>
          <w:u w:val="single"/>
          <w:rtl/>
        </w:rPr>
      </w:pPr>
    </w:p>
    <w:p w:rsidR="003B6B3C" w:rsidRDefault="002B4F33" w:rsidP="003B6B3C">
      <w:pPr>
        <w:pStyle w:val="ad"/>
        <w:numPr>
          <w:ilvl w:val="0"/>
          <w:numId w:val="3"/>
        </w:numPr>
        <w:spacing w:line="360" w:lineRule="auto"/>
        <w:jc w:val="both"/>
        <w:rPr>
          <w:rFonts w:ascii="David" w:hAnsi="David"/>
          <w:rtl/>
        </w:rPr>
      </w:pPr>
      <w:r>
        <w:rPr>
          <w:rFonts w:ascii="David" w:hAnsi="David"/>
          <w:rtl/>
        </w:rPr>
        <w:t xml:space="preserve">בסיכומים הרחיבו התובעים חזית והוסיפו סעד לתביעה ועתרו כי הנתבעים ובנם ישיבו כספים שנמצאים בידם לעיזבון האב. אמנם טענה זו הועלתה בכתב התביעה אולם היא לא נתבעה כסעד. </w:t>
      </w:r>
    </w:p>
    <w:p w:rsidR="003B6B3C" w:rsidRDefault="002B4F33" w:rsidP="003B6B3C">
      <w:pPr>
        <w:pStyle w:val="ad"/>
        <w:spacing w:line="360" w:lineRule="auto"/>
        <w:ind w:left="567"/>
        <w:jc w:val="both"/>
        <w:rPr>
          <w:rFonts w:ascii="David" w:hAnsi="David"/>
        </w:rPr>
      </w:pPr>
      <w:r>
        <w:rPr>
          <w:rFonts w:ascii="David" w:hAnsi="David"/>
          <w:rtl/>
        </w:rPr>
        <w:t xml:space="preserve">אין מקום לדון בטענה זו דיונית ומהותית. </w:t>
      </w:r>
    </w:p>
    <w:p w:rsidR="003B6B3C" w:rsidRDefault="003B6B3C" w:rsidP="003B6B3C">
      <w:pPr>
        <w:pStyle w:val="ad"/>
        <w:rPr>
          <w:rFonts w:ascii="David" w:hAnsi="David"/>
        </w:rPr>
      </w:pPr>
    </w:p>
    <w:p w:rsidR="003B6B3C" w:rsidRDefault="002B4F33" w:rsidP="003B6B3C">
      <w:pPr>
        <w:pStyle w:val="ad"/>
        <w:numPr>
          <w:ilvl w:val="0"/>
          <w:numId w:val="3"/>
        </w:numPr>
        <w:spacing w:line="360" w:lineRule="auto"/>
        <w:jc w:val="both"/>
        <w:rPr>
          <w:rFonts w:ascii="David" w:hAnsi="David"/>
          <w:rtl/>
        </w:rPr>
      </w:pPr>
      <w:r>
        <w:rPr>
          <w:rFonts w:ascii="David" w:hAnsi="David"/>
          <w:rtl/>
        </w:rPr>
        <w:t xml:space="preserve">דיונית מאחר והסעד לא נתבע ומדובר בסעד כספי שיש גם לשלם אגרה לגביו. </w:t>
      </w:r>
    </w:p>
    <w:p w:rsidR="003B6B3C" w:rsidRDefault="002B4F33" w:rsidP="003B6B3C">
      <w:pPr>
        <w:pStyle w:val="ad"/>
        <w:spacing w:line="360" w:lineRule="auto"/>
        <w:ind w:left="567"/>
        <w:jc w:val="both"/>
        <w:rPr>
          <w:rFonts w:ascii="David" w:hAnsi="David"/>
          <w:rtl/>
        </w:rPr>
      </w:pPr>
      <w:r>
        <w:rPr>
          <w:rFonts w:ascii="David" w:hAnsi="David"/>
          <w:rtl/>
        </w:rPr>
        <w:t xml:space="preserve">מהותית מאחר וטענה זו גם לא הוכחה. יתרה מכך הנתבעת התייחסה לסוגיה זו בהרחבה והציגה עמדה מפורטת ומנומקת. כמו כן ציינה כי העבירה סך של 100,000 ₪ מכספי האב שהיו בידיהם לאחר שמונה האפוט' החיצוני. </w:t>
      </w:r>
    </w:p>
    <w:p w:rsidR="003B6B3C" w:rsidRDefault="003B6B3C" w:rsidP="003B6B3C">
      <w:pPr>
        <w:spacing w:line="360" w:lineRule="auto"/>
        <w:jc w:val="both"/>
        <w:rPr>
          <w:rFonts w:ascii="David" w:hAnsi="David"/>
          <w:b/>
          <w:bCs/>
          <w:rtl/>
        </w:rPr>
      </w:pPr>
    </w:p>
    <w:p w:rsidR="003B6B3C" w:rsidRDefault="002B4F33" w:rsidP="003B6B3C">
      <w:pPr>
        <w:pStyle w:val="ad"/>
        <w:numPr>
          <w:ilvl w:val="0"/>
          <w:numId w:val="1"/>
        </w:numPr>
        <w:spacing w:line="360" w:lineRule="auto"/>
        <w:jc w:val="both"/>
        <w:rPr>
          <w:rFonts w:ascii="David" w:hAnsi="David"/>
          <w:b/>
          <w:bCs/>
          <w:sz w:val="28"/>
          <w:szCs w:val="28"/>
          <w:u w:val="single"/>
        </w:rPr>
      </w:pPr>
      <w:r>
        <w:rPr>
          <w:rFonts w:ascii="David" w:hAnsi="David"/>
          <w:b/>
          <w:bCs/>
          <w:sz w:val="28"/>
          <w:szCs w:val="28"/>
          <w:u w:val="single"/>
          <w:rtl/>
        </w:rPr>
        <w:t>סיכום</w:t>
      </w:r>
    </w:p>
    <w:p w:rsidR="003B6B3C" w:rsidRDefault="003B6B3C" w:rsidP="003B6B3C">
      <w:pPr>
        <w:pStyle w:val="ad"/>
        <w:spacing w:line="360" w:lineRule="auto"/>
        <w:ind w:left="567"/>
        <w:jc w:val="both"/>
        <w:rPr>
          <w:rFonts w:ascii="David" w:hAnsi="David"/>
          <w:b/>
          <w:bCs/>
          <w:sz w:val="28"/>
          <w:szCs w:val="28"/>
          <w:u w:val="single"/>
        </w:rPr>
      </w:pPr>
    </w:p>
    <w:p w:rsidR="003B6B3C" w:rsidRDefault="002B4F33" w:rsidP="003B6B3C">
      <w:pPr>
        <w:pStyle w:val="ad"/>
        <w:numPr>
          <w:ilvl w:val="0"/>
          <w:numId w:val="3"/>
        </w:numPr>
        <w:spacing w:line="360" w:lineRule="auto"/>
        <w:jc w:val="both"/>
        <w:rPr>
          <w:rFonts w:ascii="David" w:hAnsi="David"/>
          <w:b/>
          <w:bCs/>
        </w:rPr>
      </w:pPr>
      <w:r>
        <w:rPr>
          <w:rFonts w:ascii="David" w:hAnsi="David"/>
          <w:b/>
          <w:bCs/>
          <w:rtl/>
        </w:rPr>
        <w:t>אשר על כן ולאור כל הנימוקים שפורטו לעיל אני מורה כדלקמן:</w:t>
      </w:r>
    </w:p>
    <w:p w:rsidR="003B6B3C" w:rsidRDefault="002B4F33" w:rsidP="003B6B3C">
      <w:pPr>
        <w:pStyle w:val="ad"/>
        <w:numPr>
          <w:ilvl w:val="0"/>
          <w:numId w:val="5"/>
        </w:numPr>
        <w:spacing w:line="360" w:lineRule="auto"/>
        <w:jc w:val="both"/>
        <w:rPr>
          <w:rFonts w:ascii="David" w:hAnsi="David"/>
        </w:rPr>
      </w:pPr>
      <w:r>
        <w:rPr>
          <w:rFonts w:ascii="David" w:hAnsi="David"/>
          <w:rtl/>
        </w:rPr>
        <w:t xml:space="preserve">אני מורה על ביטול ההעברה שבוצעה בין המנוח לבין הנתבעת ביחס לזכויותיו בדירה ברח' </w:t>
      </w:r>
      <w:r w:rsidR="00B82E39">
        <w:rPr>
          <w:rFonts w:ascii="David" w:hAnsi="David" w:hint="cs"/>
          <w:rtl/>
        </w:rPr>
        <w:t>***</w:t>
      </w:r>
      <w:r>
        <w:rPr>
          <w:rFonts w:ascii="David" w:hAnsi="David"/>
          <w:rtl/>
        </w:rPr>
        <w:t>ב</w:t>
      </w:r>
      <w:r w:rsidR="00B82E39">
        <w:rPr>
          <w:rFonts w:ascii="David" w:hAnsi="David" w:hint="cs"/>
          <w:rtl/>
        </w:rPr>
        <w:t>***</w:t>
      </w:r>
      <w:r>
        <w:rPr>
          <w:rFonts w:ascii="David" w:hAnsi="David"/>
          <w:rtl/>
        </w:rPr>
        <w:t xml:space="preserve">הידועה כגוש </w:t>
      </w:r>
      <w:r w:rsidR="00B82E39">
        <w:rPr>
          <w:rFonts w:ascii="David" w:hAnsi="David"/>
        </w:rPr>
        <w:t>XXX</w:t>
      </w:r>
      <w:r>
        <w:rPr>
          <w:rFonts w:ascii="David" w:hAnsi="David"/>
          <w:rtl/>
        </w:rPr>
        <w:t xml:space="preserve">, חלקה </w:t>
      </w:r>
      <w:r w:rsidR="00B82E39">
        <w:rPr>
          <w:rFonts w:ascii="David" w:hAnsi="David"/>
        </w:rPr>
        <w:t>XX</w:t>
      </w:r>
      <w:r w:rsidR="00B82E39">
        <w:rPr>
          <w:rFonts w:ascii="David" w:hAnsi="David"/>
          <w:rtl/>
        </w:rPr>
        <w:t xml:space="preserve"> </w:t>
      </w:r>
      <w:r>
        <w:rPr>
          <w:rFonts w:ascii="David" w:hAnsi="David"/>
          <w:rtl/>
        </w:rPr>
        <w:t xml:space="preserve">תת חלקה </w:t>
      </w:r>
      <w:r w:rsidR="00B82E39">
        <w:rPr>
          <w:rFonts w:ascii="David" w:hAnsi="David"/>
        </w:rPr>
        <w:t>XX</w:t>
      </w:r>
      <w:r>
        <w:rPr>
          <w:rFonts w:ascii="David" w:hAnsi="David"/>
          <w:rtl/>
        </w:rPr>
        <w:t xml:space="preserve">. מאחר ובעת הזו עוד מתנהלים ההליכים לגבי עיזבונו של האב אני מורה כי יינתן צו איסור דיספוזיציה ביחס לדירה עד להחלטה אחרת. </w:t>
      </w:r>
    </w:p>
    <w:p w:rsidR="003B6B3C" w:rsidRDefault="002B4F33" w:rsidP="003B6B3C">
      <w:pPr>
        <w:pStyle w:val="ad"/>
        <w:numPr>
          <w:ilvl w:val="0"/>
          <w:numId w:val="5"/>
        </w:numPr>
        <w:spacing w:line="360" w:lineRule="auto"/>
        <w:jc w:val="both"/>
        <w:rPr>
          <w:rFonts w:ascii="David" w:hAnsi="David"/>
        </w:rPr>
      </w:pPr>
      <w:r>
        <w:rPr>
          <w:rFonts w:ascii="David" w:hAnsi="David"/>
          <w:rtl/>
        </w:rPr>
        <w:t xml:space="preserve">התביעה למתן סעד הצהרתי בכל הנוגע לדירות ברח' </w:t>
      </w:r>
      <w:r w:rsidR="00B82E39">
        <w:rPr>
          <w:rFonts w:ascii="David" w:hAnsi="David" w:hint="cs"/>
          <w:rtl/>
        </w:rPr>
        <w:t>***</w:t>
      </w:r>
      <w:r>
        <w:rPr>
          <w:rFonts w:ascii="David" w:hAnsi="David"/>
          <w:rtl/>
        </w:rPr>
        <w:t>ב</w:t>
      </w:r>
      <w:r w:rsidR="00256B06">
        <w:rPr>
          <w:rFonts w:ascii="David" w:hAnsi="David" w:hint="cs"/>
          <w:rtl/>
        </w:rPr>
        <w:t xml:space="preserve">*** </w:t>
      </w:r>
      <w:r>
        <w:rPr>
          <w:rFonts w:ascii="David" w:hAnsi="David"/>
          <w:rtl/>
        </w:rPr>
        <w:t xml:space="preserve">הידועות כגוש </w:t>
      </w:r>
      <w:r w:rsidR="00B82E39">
        <w:rPr>
          <w:rFonts w:ascii="David" w:hAnsi="David"/>
        </w:rPr>
        <w:t>XXX</w:t>
      </w:r>
      <w:r>
        <w:rPr>
          <w:rFonts w:ascii="David" w:hAnsi="David"/>
          <w:rtl/>
        </w:rPr>
        <w:t xml:space="preserve">, חלקה </w:t>
      </w:r>
      <w:r w:rsidR="00B82E39">
        <w:rPr>
          <w:rFonts w:ascii="David" w:hAnsi="David"/>
        </w:rPr>
        <w:t>XX</w:t>
      </w:r>
      <w:r>
        <w:rPr>
          <w:rFonts w:ascii="David" w:hAnsi="David"/>
          <w:rtl/>
        </w:rPr>
        <w:t xml:space="preserve">, תתי חלקות </w:t>
      </w:r>
      <w:r w:rsidR="00B82E39">
        <w:rPr>
          <w:rFonts w:ascii="David" w:hAnsi="David"/>
        </w:rPr>
        <w:t>X</w:t>
      </w:r>
      <w:r>
        <w:rPr>
          <w:rFonts w:ascii="David" w:hAnsi="David"/>
          <w:rtl/>
        </w:rPr>
        <w:t xml:space="preserve">, </w:t>
      </w:r>
      <w:r w:rsidR="00B82E39">
        <w:rPr>
          <w:rFonts w:ascii="David" w:hAnsi="David"/>
        </w:rPr>
        <w:t>X</w:t>
      </w:r>
      <w:r w:rsidR="00B82E39">
        <w:rPr>
          <w:rFonts w:ascii="David" w:hAnsi="David"/>
          <w:rtl/>
        </w:rPr>
        <w:t xml:space="preserve"> </w:t>
      </w:r>
      <w:r>
        <w:rPr>
          <w:rFonts w:ascii="David" w:hAnsi="David"/>
          <w:rtl/>
        </w:rPr>
        <w:t>ו-</w:t>
      </w:r>
      <w:r w:rsidR="00B82E39">
        <w:rPr>
          <w:rFonts w:ascii="David" w:hAnsi="David"/>
        </w:rPr>
        <w:t>X</w:t>
      </w:r>
      <w:r w:rsidR="00B82E39">
        <w:rPr>
          <w:rFonts w:ascii="David" w:hAnsi="David"/>
          <w:rtl/>
        </w:rPr>
        <w:t xml:space="preserve"> </w:t>
      </w:r>
      <w:r>
        <w:rPr>
          <w:rFonts w:ascii="David" w:hAnsi="David"/>
          <w:rtl/>
        </w:rPr>
        <w:t>כי הן דירותיו של המנוח – נדחית.</w:t>
      </w:r>
    </w:p>
    <w:p w:rsidR="003B6B3C" w:rsidRDefault="003B6B3C" w:rsidP="003B6B3C">
      <w:pPr>
        <w:pStyle w:val="ad"/>
        <w:spacing w:line="360" w:lineRule="auto"/>
        <w:ind w:left="567"/>
        <w:jc w:val="both"/>
        <w:rPr>
          <w:rFonts w:ascii="David" w:hAnsi="David"/>
        </w:rPr>
      </w:pPr>
    </w:p>
    <w:p w:rsidR="003B6B3C" w:rsidRDefault="002B4F33" w:rsidP="003B6B3C">
      <w:pPr>
        <w:pStyle w:val="ad"/>
        <w:numPr>
          <w:ilvl w:val="0"/>
          <w:numId w:val="3"/>
        </w:numPr>
        <w:spacing w:line="360" w:lineRule="auto"/>
        <w:jc w:val="both"/>
        <w:rPr>
          <w:rFonts w:ascii="David" w:hAnsi="David"/>
          <w:u w:val="single"/>
        </w:rPr>
      </w:pPr>
      <w:r>
        <w:rPr>
          <w:rFonts w:ascii="David" w:hAnsi="David"/>
          <w:u w:val="single"/>
          <w:rtl/>
        </w:rPr>
        <w:lastRenderedPageBreak/>
        <w:t xml:space="preserve">הוצאות ההליך – </w:t>
      </w:r>
      <w:r>
        <w:rPr>
          <w:rFonts w:ascii="David" w:hAnsi="David"/>
          <w:rtl/>
        </w:rPr>
        <w:t xml:space="preserve">לאחר בחינת היקף ההליך, מישכו ותוצאתו ומאחר ורכיב תביעה אחד התקבל ורכיב תביעה אחד נדחה, סברתי כי בסופו של יום אין מקום לחיוב בהוצאות וכל צד יישא בהוצאותיו. </w:t>
      </w:r>
    </w:p>
    <w:p w:rsidR="003B6B3C" w:rsidRDefault="003B6B3C" w:rsidP="003B6B3C">
      <w:pPr>
        <w:pStyle w:val="ad"/>
        <w:rPr>
          <w:rFonts w:ascii="David" w:hAnsi="David"/>
        </w:rPr>
      </w:pPr>
    </w:p>
    <w:p w:rsidR="003B6B3C" w:rsidRDefault="002B4F33" w:rsidP="003B6B3C">
      <w:pPr>
        <w:pStyle w:val="ad"/>
        <w:numPr>
          <w:ilvl w:val="0"/>
          <w:numId w:val="3"/>
        </w:numPr>
        <w:spacing w:line="360" w:lineRule="auto"/>
        <w:jc w:val="both"/>
        <w:rPr>
          <w:rFonts w:ascii="David" w:hAnsi="David"/>
          <w:rtl/>
        </w:rPr>
      </w:pPr>
      <w:r>
        <w:rPr>
          <w:rFonts w:ascii="David" w:hAnsi="David"/>
          <w:b/>
          <w:bCs/>
          <w:u w:val="single"/>
          <w:rtl/>
        </w:rPr>
        <w:t>המזכירות</w:t>
      </w:r>
      <w:r>
        <w:rPr>
          <w:rFonts w:ascii="David" w:hAnsi="David"/>
          <w:rtl/>
        </w:rPr>
        <w:t xml:space="preserve"> תסגור את התיק. </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Pr="00EC6394"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B4F33">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ל' אב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17 אוגוסט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8609C3">
      <w:pPr>
        <w:spacing w:line="360" w:lineRule="auto"/>
        <w:ind w:left="3600" w:firstLine="720"/>
        <w:jc w:val="both"/>
      </w:pPr>
      <w:sdt>
        <w:sdtPr>
          <w:rPr>
            <w:rtl/>
          </w:rPr>
          <w:alias w:val="MergeField"/>
          <w:tag w:val="1237"/>
          <w:id w:val="-842087965"/>
        </w:sdtPr>
        <w:sdtEndPr/>
        <w:sdtContent>
          <w:r w:rsidR="002B4F33">
            <w:drawing>
              <wp:inline distT="0" distB="0" distL="0" distR="0">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237.jpg"/>
                        <pic:cNvPicPr/>
                      </pic:nvPicPr>
                      <pic:blipFill>
                        <a:blip r:embed="rId20" cstate="print"/>
                        <a:stretch>
                          <a:fillRect/>
                        </a:stretch>
                      </pic:blipFill>
                      <pic:spPr>
                        <a:xfrm>
                          <a:off x="0" y="0"/>
                          <a:ext cx="1600200" cy="790575"/>
                        </a:xfrm>
                        <a:prstGeom prst="rect">
                          <a:avLst/>
                        </a:prstGeom>
                      </pic:spPr>
                    </pic:pic>
                  </a:graphicData>
                </a:graphic>
              </wp:inline>
            </w:drawing>
          </w:r>
        </w:sdtContent>
      </w:sdt>
    </w:p>
    <w:p w:rsidR="00EC6394" w:rsidRDefault="00EC6394" w:rsidP="00EC6394">
      <w:pPr>
        <w:pStyle w:val="NormalWeb"/>
        <w:bidi/>
        <w:spacing w:before="0" w:beforeAutospacing="0" w:after="0" w:afterAutospacing="0"/>
        <w:rPr>
          <w:rFonts w:ascii="David" w:hAnsi="David" w:cs="David"/>
          <w:color w:val="E84C22"/>
          <w:rtl/>
        </w:rPr>
      </w:pPr>
    </w:p>
    <w:p w:rsidR="00EC6394" w:rsidRPr="007B3955" w:rsidRDefault="002B4F33" w:rsidP="007B3955">
      <w:pPr>
        <w:pStyle w:val="NormalWeb"/>
        <w:bidi/>
        <w:spacing w:before="0" w:beforeAutospacing="0" w:after="0" w:afterAutospacing="0"/>
        <w:rPr>
          <w:rFonts w:ascii="David" w:hAnsi="David" w:cs="David"/>
        </w:rPr>
      </w:pPr>
      <w:r w:rsidRPr="007B3955">
        <w:rPr>
          <w:rFonts w:ascii="David" w:hAnsi="David" w:cs="David"/>
          <w:rtl/>
        </w:rPr>
        <w:t>פסק הדין הותר לפרסום ללא פרטים מזהים בהחלטה מיום</w:t>
      </w:r>
      <w:r w:rsidR="003E4655" w:rsidRPr="007B3955">
        <w:rPr>
          <w:rFonts w:ascii="David" w:hAnsi="David" w:cs="David" w:hint="cs"/>
          <w:rtl/>
        </w:rPr>
        <w:t xml:space="preserve"> 12.5.2024.</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54185E">
      <w:headerReference w:type="even" r:id="rId21"/>
      <w:headerReference w:type="default" r:id="rId22"/>
      <w:footerReference w:type="even" r:id="rId23"/>
      <w:footerReference w:type="default" r:id="rId24"/>
      <w:headerReference w:type="first" r:id="rId25"/>
      <w:footerReference w:type="first" r:id="rId26"/>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09C3" w:rsidRDefault="008609C3">
      <w:r>
        <w:separator/>
      </w:r>
    </w:p>
  </w:endnote>
  <w:endnote w:type="continuationSeparator" w:id="0">
    <w:p w:rsidR="008609C3" w:rsidRDefault="00860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F84" w:rsidRDefault="00D67F8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B4F33">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0B3A08">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0B3A08">
      <w:rPr>
        <w:rStyle w:val="ab"/>
        <w:rtl/>
      </w:rPr>
      <w:t>26</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F84" w:rsidRDefault="00D67F8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09C3" w:rsidRDefault="008609C3">
      <w:r>
        <w:separator/>
      </w:r>
    </w:p>
  </w:footnote>
  <w:footnote w:type="continuationSeparator" w:id="0">
    <w:p w:rsidR="008609C3" w:rsidRDefault="00860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F84" w:rsidRDefault="00D67F8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1623668909"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668909"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D7377B">
      <w:trPr>
        <w:trHeight w:hRule="exact" w:val="418"/>
        <w:jc w:val="center"/>
      </w:trPr>
      <w:sdt>
        <w:sdtPr>
          <w:rPr>
            <w:rtl/>
          </w:rPr>
          <w:alias w:val="1174"/>
          <w:tag w:val="1174"/>
          <w:id w:val="222578223"/>
          <w:text/>
        </w:sdtPr>
        <w:sdtEndPr/>
        <w:sdtContent>
          <w:tc>
            <w:tcPr>
              <w:tcW w:w="8721" w:type="dxa"/>
              <w:gridSpan w:val="2"/>
            </w:tcPr>
            <w:p w:rsidR="002914D6" w:rsidRDefault="002B4F33">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D7377B">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D7377B">
      <w:trPr>
        <w:trHeight w:val="337"/>
        <w:jc w:val="center"/>
      </w:trPr>
      <w:tc>
        <w:tcPr>
          <w:tcW w:w="8721" w:type="dxa"/>
          <w:gridSpan w:val="2"/>
        </w:tcPr>
        <w:p w:rsidR="002914D6" w:rsidRDefault="008609C3">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תמ"ש</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37992-05-21</w:t>
              </w:r>
            </w:sdtContent>
          </w:sdt>
          <w:r w:rsidR="00011212">
            <w:rPr>
              <w:b/>
              <w:bCs/>
              <w:noProof w:val="0"/>
              <w:sz w:val="26"/>
              <w:szCs w:val="26"/>
              <w:rtl/>
            </w:rPr>
            <w:t xml:space="preserve"> </w:t>
          </w:r>
          <w:sdt>
            <w:sdtPr>
              <w:rPr>
                <w:rtl/>
              </w:rPr>
              <w:alias w:val="1172"/>
              <w:tag w:val="1172"/>
              <w:id w:val="-673653942"/>
              <w:text w:multiLine="1"/>
            </w:sdtPr>
            <w:sdtEndPr/>
            <w:sdtContent>
              <w:r w:rsidR="00256B06">
                <w:rPr>
                  <w:rFonts w:hint="cs"/>
                  <w:b/>
                  <w:bCs/>
                  <w:noProof w:val="0"/>
                  <w:sz w:val="26"/>
                  <w:szCs w:val="26"/>
                  <w:rtl/>
                </w:rPr>
                <w:t xml:space="preserve"> פלונים נ' אלמונים</w:t>
              </w:r>
              <w:r w:rsidR="00256B06">
                <w:rPr>
                  <w:b/>
                  <w:bCs/>
                  <w:noProof w:val="0"/>
                  <w:sz w:val="26"/>
                  <w:szCs w:val="26"/>
                  <w:rtl/>
                </w:rPr>
                <w:t xml:space="preserve"> </w:t>
              </w:r>
            </w:sdtContent>
          </w:sdt>
        </w:p>
        <w:p w:rsidR="002914D6" w:rsidRDefault="002914D6">
          <w:pPr>
            <w:rPr>
              <w:rtl/>
            </w:rPr>
          </w:pPr>
        </w:p>
      </w:tc>
    </w:tr>
  </w:tbl>
  <w:p w:rsidR="002914D6" w:rsidRDefault="002B4F33">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F84" w:rsidRDefault="00D67F8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44F50"/>
    <w:multiLevelType w:val="hybridMultilevel"/>
    <w:tmpl w:val="03F08D9E"/>
    <w:lvl w:ilvl="0" w:tplc="80C481D8">
      <w:start w:val="1"/>
      <w:numFmt w:val="hebrew1"/>
      <w:lvlText w:val="%1."/>
      <w:lvlJc w:val="left"/>
      <w:pPr>
        <w:ind w:left="567" w:hanging="567"/>
      </w:pPr>
      <w:rPr>
        <w:rFonts w:ascii="David" w:eastAsia="Times New Roman" w:hAnsi="David" w:cs="David"/>
        <w:b/>
        <w:bCs/>
        <w:sz w:val="28"/>
        <w:szCs w:val="28"/>
      </w:rPr>
    </w:lvl>
    <w:lvl w:ilvl="1" w:tplc="C484A4AA">
      <w:start w:val="1"/>
      <w:numFmt w:val="lowerLetter"/>
      <w:lvlText w:val="%2."/>
      <w:lvlJc w:val="left"/>
      <w:pPr>
        <w:ind w:left="1440" w:hanging="360"/>
      </w:pPr>
    </w:lvl>
    <w:lvl w:ilvl="2" w:tplc="7EBA1066">
      <w:start w:val="1"/>
      <w:numFmt w:val="lowerRoman"/>
      <w:lvlText w:val="%3."/>
      <w:lvlJc w:val="right"/>
      <w:pPr>
        <w:ind w:left="2160" w:hanging="180"/>
      </w:pPr>
    </w:lvl>
    <w:lvl w:ilvl="3" w:tplc="6FEACAB4">
      <w:start w:val="1"/>
      <w:numFmt w:val="decimal"/>
      <w:lvlText w:val="%4."/>
      <w:lvlJc w:val="left"/>
      <w:pPr>
        <w:ind w:left="567" w:hanging="567"/>
      </w:pPr>
      <w:rPr>
        <w:rFonts w:ascii="David" w:hAnsi="David" w:cs="David" w:hint="default"/>
        <w:b w:val="0"/>
        <w:bCs w:val="0"/>
        <w:strike w:val="0"/>
        <w:dstrike w:val="0"/>
        <w:sz w:val="24"/>
        <w:szCs w:val="24"/>
        <w:u w:val="none"/>
        <w:effect w:val="none"/>
      </w:rPr>
    </w:lvl>
    <w:lvl w:ilvl="4" w:tplc="081EC39E">
      <w:start w:val="1"/>
      <w:numFmt w:val="bullet"/>
      <w:lvlText w:val=""/>
      <w:lvlJc w:val="left"/>
      <w:pPr>
        <w:ind w:left="927" w:hanging="360"/>
      </w:pPr>
      <w:rPr>
        <w:rFonts w:ascii="Symbol" w:hAnsi="Symbol" w:hint="default"/>
      </w:rPr>
    </w:lvl>
    <w:lvl w:ilvl="5" w:tplc="0F5EC798">
      <w:start w:val="1"/>
      <w:numFmt w:val="lowerRoman"/>
      <w:lvlText w:val="%6."/>
      <w:lvlJc w:val="right"/>
      <w:pPr>
        <w:ind w:left="4320" w:hanging="180"/>
      </w:pPr>
    </w:lvl>
    <w:lvl w:ilvl="6" w:tplc="C038BE60">
      <w:start w:val="1"/>
      <w:numFmt w:val="decimal"/>
      <w:lvlText w:val="%7."/>
      <w:lvlJc w:val="left"/>
      <w:pPr>
        <w:ind w:left="5040" w:hanging="360"/>
      </w:pPr>
    </w:lvl>
    <w:lvl w:ilvl="7" w:tplc="E33AC760">
      <w:start w:val="1"/>
      <w:numFmt w:val="lowerLetter"/>
      <w:lvlText w:val="%8."/>
      <w:lvlJc w:val="left"/>
      <w:pPr>
        <w:ind w:left="5760" w:hanging="360"/>
      </w:pPr>
    </w:lvl>
    <w:lvl w:ilvl="8" w:tplc="36886F48">
      <w:start w:val="1"/>
      <w:numFmt w:val="lowerRoman"/>
      <w:lvlText w:val="%9."/>
      <w:lvlJc w:val="right"/>
      <w:pPr>
        <w:ind w:left="6480" w:hanging="180"/>
      </w:pPr>
    </w:lvl>
  </w:abstractNum>
  <w:abstractNum w:abstractNumId="1" w15:restartNumberingAfterBreak="0">
    <w:nsid w:val="0AB62AA6"/>
    <w:multiLevelType w:val="hybridMultilevel"/>
    <w:tmpl w:val="0AC80786"/>
    <w:lvl w:ilvl="0" w:tplc="72267FF8">
      <w:start w:val="1"/>
      <w:numFmt w:val="hebrew1"/>
      <w:lvlText w:val="%1."/>
      <w:lvlJc w:val="left"/>
      <w:pPr>
        <w:ind w:left="927" w:hanging="360"/>
      </w:pPr>
    </w:lvl>
    <w:lvl w:ilvl="1" w:tplc="D602998C">
      <w:start w:val="1"/>
      <w:numFmt w:val="lowerLetter"/>
      <w:lvlText w:val="%2."/>
      <w:lvlJc w:val="left"/>
      <w:pPr>
        <w:ind w:left="1647" w:hanging="360"/>
      </w:pPr>
    </w:lvl>
    <w:lvl w:ilvl="2" w:tplc="17CA22CE">
      <w:start w:val="1"/>
      <w:numFmt w:val="lowerRoman"/>
      <w:lvlText w:val="%3."/>
      <w:lvlJc w:val="right"/>
      <w:pPr>
        <w:ind w:left="2367" w:hanging="180"/>
      </w:pPr>
    </w:lvl>
    <w:lvl w:ilvl="3" w:tplc="87901D30">
      <w:start w:val="1"/>
      <w:numFmt w:val="decimal"/>
      <w:lvlText w:val="%4."/>
      <w:lvlJc w:val="left"/>
      <w:pPr>
        <w:ind w:left="3087" w:hanging="360"/>
      </w:pPr>
    </w:lvl>
    <w:lvl w:ilvl="4" w:tplc="366C5F26">
      <w:start w:val="1"/>
      <w:numFmt w:val="lowerLetter"/>
      <w:lvlText w:val="%5."/>
      <w:lvlJc w:val="left"/>
      <w:pPr>
        <w:ind w:left="3807" w:hanging="360"/>
      </w:pPr>
    </w:lvl>
    <w:lvl w:ilvl="5" w:tplc="92BE27F4">
      <w:start w:val="1"/>
      <w:numFmt w:val="lowerRoman"/>
      <w:lvlText w:val="%6."/>
      <w:lvlJc w:val="right"/>
      <w:pPr>
        <w:ind w:left="4527" w:hanging="180"/>
      </w:pPr>
    </w:lvl>
    <w:lvl w:ilvl="6" w:tplc="3FF60A50">
      <w:start w:val="1"/>
      <w:numFmt w:val="decimal"/>
      <w:lvlText w:val="%7."/>
      <w:lvlJc w:val="left"/>
      <w:pPr>
        <w:ind w:left="5247" w:hanging="360"/>
      </w:pPr>
    </w:lvl>
    <w:lvl w:ilvl="7" w:tplc="21FAF53C">
      <w:start w:val="1"/>
      <w:numFmt w:val="lowerLetter"/>
      <w:lvlText w:val="%8."/>
      <w:lvlJc w:val="left"/>
      <w:pPr>
        <w:ind w:left="5967" w:hanging="360"/>
      </w:pPr>
    </w:lvl>
    <w:lvl w:ilvl="8" w:tplc="8FA06496">
      <w:start w:val="1"/>
      <w:numFmt w:val="lowerRoman"/>
      <w:lvlText w:val="%9."/>
      <w:lvlJc w:val="right"/>
      <w:pPr>
        <w:ind w:left="6687" w:hanging="180"/>
      </w:pPr>
    </w:lvl>
  </w:abstractNum>
  <w:abstractNum w:abstractNumId="2" w15:restartNumberingAfterBreak="0">
    <w:nsid w:val="3F5862B5"/>
    <w:multiLevelType w:val="hybridMultilevel"/>
    <w:tmpl w:val="2342F85A"/>
    <w:lvl w:ilvl="0" w:tplc="F3D619EE">
      <w:start w:val="1"/>
      <w:numFmt w:val="hebrew1"/>
      <w:lvlText w:val="%1."/>
      <w:lvlJc w:val="left"/>
      <w:pPr>
        <w:ind w:left="720" w:hanging="360"/>
      </w:pPr>
    </w:lvl>
    <w:lvl w:ilvl="1" w:tplc="06263068">
      <w:start w:val="1"/>
      <w:numFmt w:val="lowerLetter"/>
      <w:lvlText w:val="%2."/>
      <w:lvlJc w:val="left"/>
      <w:pPr>
        <w:ind w:left="1440" w:hanging="360"/>
      </w:pPr>
    </w:lvl>
    <w:lvl w:ilvl="2" w:tplc="4D6C9930">
      <w:start w:val="1"/>
      <w:numFmt w:val="lowerRoman"/>
      <w:lvlText w:val="%3."/>
      <w:lvlJc w:val="right"/>
      <w:pPr>
        <w:ind w:left="2160" w:hanging="180"/>
      </w:pPr>
    </w:lvl>
    <w:lvl w:ilvl="3" w:tplc="378EBADA">
      <w:start w:val="1"/>
      <w:numFmt w:val="decimal"/>
      <w:lvlText w:val="%4."/>
      <w:lvlJc w:val="left"/>
      <w:pPr>
        <w:ind w:left="2880" w:hanging="360"/>
      </w:pPr>
    </w:lvl>
    <w:lvl w:ilvl="4" w:tplc="C6346566">
      <w:start w:val="1"/>
      <w:numFmt w:val="lowerLetter"/>
      <w:lvlText w:val="%5."/>
      <w:lvlJc w:val="left"/>
      <w:pPr>
        <w:ind w:left="3600" w:hanging="360"/>
      </w:pPr>
    </w:lvl>
    <w:lvl w:ilvl="5" w:tplc="5B4498F0">
      <w:start w:val="1"/>
      <w:numFmt w:val="lowerRoman"/>
      <w:lvlText w:val="%6."/>
      <w:lvlJc w:val="right"/>
      <w:pPr>
        <w:ind w:left="4320" w:hanging="180"/>
      </w:pPr>
    </w:lvl>
    <w:lvl w:ilvl="6" w:tplc="D1181306">
      <w:start w:val="1"/>
      <w:numFmt w:val="decimal"/>
      <w:lvlText w:val="%7."/>
      <w:lvlJc w:val="left"/>
      <w:pPr>
        <w:ind w:left="5040" w:hanging="360"/>
      </w:pPr>
    </w:lvl>
    <w:lvl w:ilvl="7" w:tplc="5148AA82">
      <w:start w:val="1"/>
      <w:numFmt w:val="lowerLetter"/>
      <w:lvlText w:val="%8."/>
      <w:lvlJc w:val="left"/>
      <w:pPr>
        <w:ind w:left="5760" w:hanging="360"/>
      </w:pPr>
    </w:lvl>
    <w:lvl w:ilvl="8" w:tplc="C1C8AF14">
      <w:start w:val="1"/>
      <w:numFmt w:val="lowerRoman"/>
      <w:lvlText w:val="%9."/>
      <w:lvlJc w:val="right"/>
      <w:pPr>
        <w:ind w:left="6480" w:hanging="180"/>
      </w:pPr>
    </w:lvl>
  </w:abstractNum>
  <w:abstractNum w:abstractNumId="3" w15:restartNumberingAfterBreak="0">
    <w:nsid w:val="5AA8261A"/>
    <w:multiLevelType w:val="hybridMultilevel"/>
    <w:tmpl w:val="C6A082BA"/>
    <w:lvl w:ilvl="0" w:tplc="AC443F34">
      <w:start w:val="18"/>
      <w:numFmt w:val="decimal"/>
      <w:lvlText w:val="%1."/>
      <w:lvlJc w:val="left"/>
      <w:pPr>
        <w:ind w:left="567" w:hanging="567"/>
      </w:pPr>
      <w:rPr>
        <w:rFonts w:ascii="David" w:hAnsi="David" w:cs="David" w:hint="default"/>
        <w:b w:val="0"/>
        <w:bCs w:val="0"/>
        <w:strike w:val="0"/>
        <w:dstrike w:val="0"/>
        <w:sz w:val="24"/>
        <w:szCs w:val="24"/>
        <w:u w:val="none"/>
        <w:effect w:val="none"/>
      </w:rPr>
    </w:lvl>
    <w:lvl w:ilvl="1" w:tplc="0028652A">
      <w:start w:val="1"/>
      <w:numFmt w:val="lowerLetter"/>
      <w:lvlText w:val="%2."/>
      <w:lvlJc w:val="left"/>
      <w:pPr>
        <w:ind w:left="1440" w:hanging="360"/>
      </w:pPr>
    </w:lvl>
    <w:lvl w:ilvl="2" w:tplc="79EE184C">
      <w:start w:val="1"/>
      <w:numFmt w:val="lowerRoman"/>
      <w:lvlText w:val="%3."/>
      <w:lvlJc w:val="right"/>
      <w:pPr>
        <w:ind w:left="2160" w:hanging="180"/>
      </w:pPr>
    </w:lvl>
    <w:lvl w:ilvl="3" w:tplc="872AC2B2">
      <w:start w:val="1"/>
      <w:numFmt w:val="decimal"/>
      <w:lvlText w:val="%4."/>
      <w:lvlJc w:val="left"/>
      <w:pPr>
        <w:ind w:left="2880" w:hanging="360"/>
      </w:pPr>
    </w:lvl>
    <w:lvl w:ilvl="4" w:tplc="D0420778">
      <w:start w:val="1"/>
      <w:numFmt w:val="lowerLetter"/>
      <w:lvlText w:val="%5."/>
      <w:lvlJc w:val="left"/>
      <w:pPr>
        <w:ind w:left="3600" w:hanging="360"/>
      </w:pPr>
    </w:lvl>
    <w:lvl w:ilvl="5" w:tplc="CFBCD966">
      <w:start w:val="1"/>
      <w:numFmt w:val="lowerRoman"/>
      <w:lvlText w:val="%6."/>
      <w:lvlJc w:val="right"/>
      <w:pPr>
        <w:ind w:left="4320" w:hanging="180"/>
      </w:pPr>
    </w:lvl>
    <w:lvl w:ilvl="6" w:tplc="D7243128">
      <w:start w:val="1"/>
      <w:numFmt w:val="decimal"/>
      <w:lvlText w:val="%7."/>
      <w:lvlJc w:val="left"/>
      <w:pPr>
        <w:ind w:left="5040" w:hanging="360"/>
      </w:pPr>
    </w:lvl>
    <w:lvl w:ilvl="7" w:tplc="22F8DE52">
      <w:start w:val="1"/>
      <w:numFmt w:val="lowerLetter"/>
      <w:lvlText w:val="%8."/>
      <w:lvlJc w:val="left"/>
      <w:pPr>
        <w:ind w:left="5760" w:hanging="360"/>
      </w:pPr>
    </w:lvl>
    <w:lvl w:ilvl="8" w:tplc="70EEBA8E">
      <w:start w:val="1"/>
      <w:numFmt w:val="lowerRoman"/>
      <w:lvlText w:val="%9."/>
      <w:lvlJc w:val="right"/>
      <w:pPr>
        <w:ind w:left="6480" w:hanging="180"/>
      </w:pPr>
    </w:lvl>
  </w:abstractNum>
  <w:abstractNum w:abstractNumId="4" w15:restartNumberingAfterBreak="0">
    <w:nsid w:val="69EA14BC"/>
    <w:multiLevelType w:val="hybridMultilevel"/>
    <w:tmpl w:val="7E6ECB50"/>
    <w:lvl w:ilvl="0" w:tplc="ABBCFA2C">
      <w:start w:val="1"/>
      <w:numFmt w:val="hebrew1"/>
      <w:lvlText w:val="%1."/>
      <w:lvlJc w:val="left"/>
      <w:pPr>
        <w:ind w:left="927" w:hanging="360"/>
      </w:pPr>
    </w:lvl>
    <w:lvl w:ilvl="1" w:tplc="052266A6">
      <w:start w:val="1"/>
      <w:numFmt w:val="lowerLetter"/>
      <w:lvlText w:val="%2."/>
      <w:lvlJc w:val="left"/>
      <w:pPr>
        <w:ind w:left="1647" w:hanging="360"/>
      </w:pPr>
    </w:lvl>
    <w:lvl w:ilvl="2" w:tplc="8CF4DD7A">
      <w:start w:val="1"/>
      <w:numFmt w:val="lowerRoman"/>
      <w:lvlText w:val="%3."/>
      <w:lvlJc w:val="right"/>
      <w:pPr>
        <w:ind w:left="2367" w:hanging="180"/>
      </w:pPr>
    </w:lvl>
    <w:lvl w:ilvl="3" w:tplc="2654B32A">
      <w:start w:val="1"/>
      <w:numFmt w:val="decimal"/>
      <w:lvlText w:val="%4."/>
      <w:lvlJc w:val="left"/>
      <w:pPr>
        <w:ind w:left="3087" w:hanging="360"/>
      </w:pPr>
    </w:lvl>
    <w:lvl w:ilvl="4" w:tplc="0876D8C4">
      <w:start w:val="1"/>
      <w:numFmt w:val="lowerLetter"/>
      <w:lvlText w:val="%5."/>
      <w:lvlJc w:val="left"/>
      <w:pPr>
        <w:ind w:left="3807" w:hanging="360"/>
      </w:pPr>
    </w:lvl>
    <w:lvl w:ilvl="5" w:tplc="731EE13A">
      <w:start w:val="1"/>
      <w:numFmt w:val="lowerRoman"/>
      <w:lvlText w:val="%6."/>
      <w:lvlJc w:val="right"/>
      <w:pPr>
        <w:ind w:left="4527" w:hanging="180"/>
      </w:pPr>
    </w:lvl>
    <w:lvl w:ilvl="6" w:tplc="F3EE7BBE">
      <w:start w:val="1"/>
      <w:numFmt w:val="decimal"/>
      <w:lvlText w:val="%7."/>
      <w:lvlJc w:val="left"/>
      <w:pPr>
        <w:ind w:left="5247" w:hanging="360"/>
      </w:pPr>
    </w:lvl>
    <w:lvl w:ilvl="7" w:tplc="90A48354">
      <w:start w:val="1"/>
      <w:numFmt w:val="lowerLetter"/>
      <w:lvlText w:val="%8."/>
      <w:lvlJc w:val="left"/>
      <w:pPr>
        <w:ind w:left="5967" w:hanging="360"/>
      </w:pPr>
    </w:lvl>
    <w:lvl w:ilvl="8" w:tplc="AC885D60">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34060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340604&amp;lt;/CaseID&amp;gt;_x000d__x000a_        &amp;lt;CaseMonth&amp;gt;5&amp;lt;/CaseMonth&amp;gt;_x000d__x000a_        &amp;lt;CaseYear&amp;gt;2021&amp;lt;/CaseYear&amp;gt;_x000d__x000a_        &amp;lt;CaseNumber&amp;gt;37992&amp;lt;/CaseNumber&amp;gt;_x000d__x000a_        &amp;lt;NumeratorGroupID&amp;gt;1&amp;lt;/NumeratorGroupID&amp;gt;_x000d__x000a_        &amp;lt;CaseName&amp;gt;זמיר ואח&amp;#39; נ&amp;#39; מוטהד ואח&amp;#39;&amp;lt;/CaseName&amp;gt;_x000d__x000a_        &amp;lt;CourtID&amp;gt;33&amp;lt;/CourtID&amp;gt;_x000d__x000a_        &amp;lt;CaseTypeID&amp;gt;15&amp;lt;/CaseTypeID&amp;gt;_x000d__x000a_        &amp;lt;CaseInterestID&amp;gt;158&amp;lt;/CaseInterestID&amp;gt;_x000d__x000a_        &amp;lt;CaseJudgeName&amp;gt;תמר סנונית פור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7992-05-21&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2-05-25T11:30:00+03:00&amp;lt;/CasePreviousSessionDate&amp;gt;_x000d__x000a_        &amp;lt;CaseNextDeterminingTask&amp;gt;257&amp;lt;/CaseNextDeterminingTask&amp;gt;_x000d__x000a_        &amp;lt;TemporaryAidStatus /&amp;gt;_x000d__x000a_        &amp;lt;CaseOpenDate&amp;gt;2021-05-19T16:23: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תמר&amp;lt;/CaseJudgeFirstName&amp;gt;_x000d__x000a_        &amp;lt;CaseJudgeLastName&amp;gt;סנונית פורר&amp;lt;/CaseJudgeLastName&amp;gt;_x000d__x000a_        &amp;lt;JudicalPersonID&amp;gt;032014706@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עותק כרוך ומדוגל של תצהיר מטעם התובעים הושאר בתא השופטת_x000d__x000a__x000d__x000a_רינת ברדה&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340604&amp;lt;/CaseID&amp;gt;_x000d__x000a_        &amp;lt;CaseMonth&amp;gt;5&amp;lt;/CaseMonth&amp;gt;_x000d__x000a_        &amp;lt;CaseYear&amp;gt;2021&amp;lt;/CaseYear&amp;gt;_x000d__x000a_        &amp;lt;CaseNumber&amp;gt;37992&amp;lt;/CaseNumber&amp;gt;_x000d__x000a_        &amp;lt;NumeratorGroupID&amp;gt;1&amp;lt;/NumeratorGroupID&amp;gt;_x000d__x000a_        &amp;lt;CaseName&amp;gt;זמיר ואח&amp;#39; נ&amp;#39; מוטהד ואח&amp;#39;&amp;lt;/CaseName&amp;gt;_x000d__x000a_        &amp;lt;CourtID&amp;gt;33&amp;lt;/CourtID&amp;gt;_x000d__x000a_        &amp;lt;CaseTypeID&amp;gt;15&amp;lt;/CaseTypeID&amp;gt;_x000d__x000a_        &amp;lt;CaseInterestID&amp;gt;158&amp;lt;/CaseInterestID&amp;gt;_x000d__x000a_        &amp;lt;CaseJudgeName&amp;gt;תמר סנונית פור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7992-05-21&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CaseNextDeterminingTask&amp;gt;257&amp;lt;/CaseNextDeterminingTask&amp;gt;_x000d__x000a_        &amp;lt;CaseOpenDate&amp;gt;2021-05-19T16:23: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תמר&amp;lt;/CaseJudgeFirstName&amp;gt;_x000d__x000a_        &amp;lt;CaseJudgeLastName&amp;gt;סנונית פורר&amp;lt;/CaseJudgeLastName&amp;gt;_x000d__x000a_        &amp;lt;JudicalPersonID&amp;gt;032014706@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עותק כרוך ומדוגל של תצהיר מטעם התובעים הושאר בתא השופטת_x000d__x000a__x000d__x000a_רינת ברד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08-17T12:09:13.4841829+03:00&amp;lt;/DecisionStatusChangeDate&amp;gt;_x000d__x000a_        &amp;lt;DecisionSignatureDate&amp;gt;2023-08-17T12:09:13.4841829+03:00&amp;lt;/DecisionSignatureDate&amp;gt;_x000d__x000a_        &amp;lt;DecisionSignatureUserID&amp;gt;032014706@GOV.IL&amp;lt;/DecisionSignatureUserID&amp;gt;_x000d__x000a_        &amp;lt;DecisionCreateDate&amp;gt;2023-08-17T12:09:13.4841829+03:00&amp;lt;/DecisionCreateDate&amp;gt;_x000d__x000a_        &amp;lt;DecisionChangeDate&amp;gt;2023-08-17T12:09:13.4841829+03:00&amp;lt;/DecisionChangeDate&amp;gt;_x000d__x000a_        &amp;lt;DecisionChangeUserID&amp;gt;032014706@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0147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01470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340604&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58"/>
    <w:docVar w:name="NGCS.TemplateCaseTypeID" w:val="15"/>
    <w:docVar w:name="NGCS.TemplateCategoryID" w:val="80"/>
    <w:docVar w:name="NGCS.TemplateCourtID" w:val="33"/>
    <w:docVar w:name="NGCS.TemplateProceedingID" w:val="3"/>
    <w:docVar w:name="SelectedDocumentID" w:val="379665054"/>
    <w:docVar w:name="WordClientAssemblyName" w:val="NGCS.Decision.ClientWordBL"/>
    <w:docVar w:name="WordClientClassName" w:val="NGCS.Decision.ClientWordBL.DecisionClient"/>
  </w:docVars>
  <w:rsids>
    <w:rsidRoot w:val="002914D6"/>
    <w:rsid w:val="00011212"/>
    <w:rsid w:val="0009378B"/>
    <w:rsid w:val="000B3A08"/>
    <w:rsid w:val="00256B06"/>
    <w:rsid w:val="00265648"/>
    <w:rsid w:val="002914D6"/>
    <w:rsid w:val="002B4F33"/>
    <w:rsid w:val="002F5307"/>
    <w:rsid w:val="003B6B3C"/>
    <w:rsid w:val="003E4655"/>
    <w:rsid w:val="00496537"/>
    <w:rsid w:val="004B1B04"/>
    <w:rsid w:val="00527757"/>
    <w:rsid w:val="0054185E"/>
    <w:rsid w:val="0056665F"/>
    <w:rsid w:val="005A2E42"/>
    <w:rsid w:val="00605B1F"/>
    <w:rsid w:val="00656EA0"/>
    <w:rsid w:val="00666802"/>
    <w:rsid w:val="00681EA2"/>
    <w:rsid w:val="00696DE6"/>
    <w:rsid w:val="006C4051"/>
    <w:rsid w:val="00782DB3"/>
    <w:rsid w:val="00790184"/>
    <w:rsid w:val="007B3955"/>
    <w:rsid w:val="007C1077"/>
    <w:rsid w:val="007C6BD7"/>
    <w:rsid w:val="00822AA5"/>
    <w:rsid w:val="008609C3"/>
    <w:rsid w:val="0091072C"/>
    <w:rsid w:val="009108D7"/>
    <w:rsid w:val="00956A94"/>
    <w:rsid w:val="00A633AD"/>
    <w:rsid w:val="00A64579"/>
    <w:rsid w:val="00A76E56"/>
    <w:rsid w:val="00A8313B"/>
    <w:rsid w:val="00B144B7"/>
    <w:rsid w:val="00B430AE"/>
    <w:rsid w:val="00B82E39"/>
    <w:rsid w:val="00BD18F5"/>
    <w:rsid w:val="00BD5B6B"/>
    <w:rsid w:val="00C40239"/>
    <w:rsid w:val="00C46839"/>
    <w:rsid w:val="00C931BD"/>
    <w:rsid w:val="00D33C2B"/>
    <w:rsid w:val="00D358FE"/>
    <w:rsid w:val="00D54B3A"/>
    <w:rsid w:val="00D67F84"/>
    <w:rsid w:val="00D7377B"/>
    <w:rsid w:val="00DD613A"/>
    <w:rsid w:val="00DE3526"/>
    <w:rsid w:val="00E9298F"/>
    <w:rsid w:val="00EA0B0E"/>
    <w:rsid w:val="00EC6394"/>
    <w:rsid w:val="00F43040"/>
    <w:rsid w:val="00F50E07"/>
    <w:rsid w:val="00F53B8E"/>
    <w:rsid w:val="00F706EB"/>
    <w:rsid w:val="00F90214"/>
    <w:rsid w:val="00FC3D4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F09669-5113-48B5-9755-7975148F3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3B6B3C"/>
    <w:pPr>
      <w:ind w:left="720"/>
      <w:contextualSpacing/>
    </w:pPr>
  </w:style>
  <w:style w:type="paragraph" w:styleId="ae">
    <w:name w:val="Revision"/>
    <w:hidden/>
    <w:uiPriority w:val="99"/>
    <w:semiHidden/>
    <w:rsid w:val="00790184"/>
    <w:rPr>
      <w:rFonts w:cs="David"/>
      <w:noProof/>
      <w:sz w:val="24"/>
      <w:szCs w:val="24"/>
    </w:rPr>
  </w:style>
  <w:style w:type="paragraph" w:styleId="NormalWeb">
    <w:name w:val="Normal (Web)"/>
    <w:basedOn w:val="a"/>
    <w:uiPriority w:val="99"/>
    <w:semiHidden/>
    <w:unhideWhenUsed/>
    <w:rsid w:val="00EC6394"/>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78340604</CaseID>
    <CaseJudicialPersonPresentationDS>
      <CaseJudicalPersonActive>
        <CaseID>78340604</CaseID>
        <JudicialPersonID>032014706@GOV.IL</JudicialPersonID>
        <JudicialPersonTypeID>1</JudicialPersonTypeID>
        <JudicialTypeID>1</JudicialTypeID>
        <IsChairman>false</IsChairman>
        <TreatmentStartDate>2021-05-19T21:44:00.637+03:00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אבי שמיאן</FullName>
        <FirstName>אבי</FirstName>
        <LastName>שמיאן</LastName>
        <PartyPropertyName/>
        <AuthenticationTypeAndNumber>ת"ז </AuthenticationTypeAndNumber>
        <RepresentatedOrRepresentativesNames/>
        <RepresentatedOrRepresentativesCount>0</RepresentatedOrRepresentativesCount>
        <InvitedBy/>
        <CaseID>78340604</CaseID>
        <CaseJudicialPersonPresentationDS>
          <CaseJudicalPersonActive>
            <CaseID>78340604</CaseID>
            <JudicialPersonID>032014706@GOV.IL</JudicialPersonID>
            <JudicialPersonTypeID>1</JudicialPersonTypeID>
            <JudicialTypeID>1</JudicialTypeID>
            <IsChairman>false</IsChairman>
            <TreatmentStartDate>2021-05-19T21:44:00.637+03:00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237202544</CasePartyID>
        <PartyTypeID>4</PartyTypeID>
        <ActivityStatusID>1</ActivityStatusID>
        <PartyAliasID>101</PartyAliasID>
        <PartyAliasName>עד בית משפט</PartyAliasName>
        <LegalEntityID>80310004</LegalEntityID>
        <CaseLegalEntityID>118611345</CaseLegalEntityID>
        <AuthenticationTypeID>1</AuthenticationTypeID>
        <AuthenticationTypeName>ת"ז</AuthenticationTypeName>
        <IsMainPartyType>true</IsMainPartyType>
        <CaseDisplayIdentifier>37992-05-21</CaseDisplayIdentifier>
        <CaseTypeID>15</CaseTypeID>
        <CaseTypeName>תיק משפחה (תמ"ש)</CaseTypeName>
        <CaseName>זמיר ואח' נ' מוטהד ואח'</CaseName>
        <FullAddress>בלפור 53 בת ים </FullAddress>
        <MotionID>0</MotionID>
        <CasePleaID>0</CasePleaID>
        <LinkedCaseID>0</LinkedCaseID>
        <CasePartyCategoryID>1</CasePartyCategoryID>
        <LegalEntityAddressID>86165329</LegalEntityAddressID>
        <PleaTypeID>4</PleaTypeID>
        <GroupPartyAlias/>
        <IsConverted>false</IsConverted>
        <LegalEntityNameID>92666900</LegalEntityNameID>
        <RepresentatedNamesOfAssistant/>
        <LegalEntityTypeID>1</LegalEntityTypeID>
        <IsVerdictExists>false</IsVerdictExists>
        <IsAsirAzir>false</IsAsirAzir>
        <IsPublicationProhibited>false</IsPublicationProhibited>
        <PublicationProhibitedFullName>אבי שמיאן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יוסף אסף קוסטיקה</FullName>
        <FirstName>יוסף אסף</FirstName>
        <LastName>קוסטיקה</LastName>
        <PartyPropertyName/>
        <AuthenticationTypeAndNumber>מ.ר. 36150</AuthenticationTypeAndNumber>
        <RepresentatedOrRepresentativesNames>ציון מוטהד, שרה מוטהד</RepresentatedOrRepresentativesNames>
        <RepresentatedOrRepresentativesCount>2</RepresentatedOrRepresentativesCount>
        <InvitedBy/>
        <CaseID>78340604</CaseID>
        <CaseJudicialPersonPresentationDS>
          <CaseJudicalPersonActive>
            <CaseID>78340604</CaseID>
            <JudicialPersonID>032014706@GOV.IL</JudicialPersonID>
            <JudicialPersonTypeID>1</JudicialPersonTypeID>
            <JudicialTypeID>1</JudicialTypeID>
            <IsChairman>false</IsChairman>
            <TreatmentStartDate>2021-05-19T21:44:00.637+03:00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228664971</CasePartyID>
        <PartyTypeID>2</PartyTypeID>
        <ActivityStatusID>1</ActivityStatusID>
        <PartyAliasID>21</PartyAliasID>
        <PartyAliasName>בא כוח נתבעים</PartyAliasName>
        <LegalEntityID>408266</LegalEntityID>
        <CaseLegalEntityID>115953459</CaseLegalEntityID>
        <AuthenticationTypeID>4</AuthenticationTypeID>
        <AuthenticationTypeName>מ.ר.</AuthenticationTypeName>
        <LegalEntityNumber>36150</LegalEntityNumber>
        <IsMainPartyType>true</IsMainPartyType>
        <CaseDisplayIdentifier>37992-05-21</CaseDisplayIdentifier>
        <CaseTypeID>15</CaseTypeID>
        <CaseTypeName>תיק משפחה (תמ"ש)</CaseTypeName>
        <CaseName>זמיר ואח' נ' מוטהד ואח'</CaseName>
        <FullAddress>דרך בגין 144א תל אביב -יפו </FullAddress>
        <EmailAddress>kostica@lawonline.co.il</EmailAddress>
        <MotionID>0</MotionID>
        <CasePleaID>0</CasePleaID>
        <FatherName xml:space="preserve">        </FatherName>
        <LinkedCaseID>0</LinkedCaseID>
        <PartyID>2</PartyID>
        <CasePartyCategoryID>2</CasePartyCategoryID>
        <LegalEntityAddressID>87379550</LegalEntityAddressID>
        <LegalEntityEmailAddressID>31827245</LegalEntityEmailAddressID>
        <PleaTypeID>4</PleaTypeID>
        <LawyerOfficeName>קוסטיקה חב' עורכי דין</LawyerOfficeName>
        <LawyerOfficeID>448910</LawyerOfficeID>
        <GroupPartyAlias/>
        <IsConverted>false</IsConverted>
        <LegalEntityNameID>1745516</LegalEntityNameID>
        <RepresentatedNamesOfAssistant/>
        <LegalEntityTypeID>4</LegalEntityTypeID>
        <IsVerdictExists>false</IsVerdictExists>
        <IsAsirAzir>false</IsAsirAzir>
        <IsPublicationProhibited>false</IsPublicationProhibited>
        <PublicationProhibitedFullName>יוסף אסף קוסטיקה</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אביעד קשקש</FullName>
        <FirstName>אביעד</FirstName>
        <LastName>קשקש</LastName>
        <PartyPropertyName/>
        <AuthenticationTypeAndNumber>ת"ז 060775111</AuthenticationTypeAndNumber>
        <RepresentatedOrRepresentativesNames/>
        <RepresentatedOrRepresentativesCount>0</RepresentatedOrRepresentativesCount>
        <InvitedBy/>
        <CaseID>78340604</CaseID>
        <CaseJudicialPersonPresentationDS>
          <CaseJudicalPersonActive>
            <CaseID>78340604</CaseID>
            <JudicialPersonID>032014706@GOV.IL</JudicialPersonID>
            <JudicialPersonTypeID>1</JudicialPersonTypeID>
            <JudicialTypeID>1</JudicialTypeID>
            <IsChairman>false</IsChairman>
            <TreatmentStartDate>2021-05-19T21:44:00.637+03:00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241122488</CasePartyID>
        <PartyTypeID>4</PartyTypeID>
        <ActivityStatusID>1</ActivityStatusID>
        <PartyAliasID>62</PartyAliasID>
        <PartyAliasName>עד הגנה</PartyAliasName>
        <LegalEntityID>20997093</LegalEntityID>
        <CaseLegalEntityID>119802952</CaseLegalEntityID>
        <AuthenticationTypeID>1</AuthenticationTypeID>
        <AuthenticationTypeName>ת"ז</AuthenticationTypeName>
        <LegalEntityNumber>060775111</LegalEntityNumber>
        <IsMainPartyType>true</IsMainPartyType>
        <CaseDisplayIdentifier>37992-05-21</CaseDisplayIdentifier>
        <CaseTypeID>15</CaseTypeID>
        <CaseTypeName>תיק משפחה (תמ"ש)</CaseTypeName>
        <CaseName>זמיר ואח' נ' מוטהד ואח'</CaseName>
        <FullAddress>מנחם בגין 150 תל אביב -יפו </FullAddress>
        <MotionID>0</MotionID>
        <CasePleaID>0</CasePleaID>
        <FatherName>מאיר</FatherName>
        <LinkedCaseID>0</LinkedCaseID>
        <PartyID>2</PartyID>
        <CasePartyCategoryID>2</CasePartyCategoryID>
        <LegalEntityAddressID>86519645</LegalEntityAddressID>
        <PleaTypeID>4</PleaTypeID>
        <GroupPartyAlias/>
        <IsConverted>false</IsConverted>
        <LegalEntityRegisteredNameID>1786075</LegalEntityRegisteredNameID>
        <LegalEntityNameID>93122598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אביעד קשקש</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דוד בסידן</FullName>
        <FirstName>דוד</FirstName>
        <LastName>בסידן</LastName>
        <PartyPropertyName/>
        <AuthenticationTypeAndNumber>מ.ר. 35433</AuthenticationTypeAndNumber>
        <RepresentatedOrRepresentativesNames>אפרים זמיר, מרדכי זמיר, משה זמיר, יוסף זמיר בזיני</RepresentatedOrRepresentativesNames>
        <RepresentatedOrRepresentativesCount>4</RepresentatedOrRepresentativesCount>
        <InvitedBy/>
        <CaseID>78340604</CaseID>
        <CaseJudicialPersonPresentationDS>
          <CaseJudicalPersonActive>
            <CaseID>78340604</CaseID>
            <JudicialPersonID>032014706@GOV.IL</JudicialPersonID>
            <JudicialPersonTypeID>1</JudicialPersonTypeID>
            <JudicialTypeID>1</JudicialTypeID>
            <IsChairman>false</IsChairman>
            <TreatmentStartDate>2021-05-19T21:44:00.637+03:00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226614651</CasePartyID>
        <PartyTypeID>2</PartyTypeID>
        <ActivityStatusID>1</ActivityStatusID>
        <PartyAliasID>20</PartyAliasID>
        <PartyAliasName>בא כוח תובעים</PartyAliasName>
        <OrdinalNumber>1</OrdinalNumber>
        <LegalEntityID>408257</LegalEntityID>
        <CaseLegalEntityID>115347410</CaseLegalEntityID>
        <AuthenticationTypeID>4</AuthenticationTypeID>
        <AuthenticationTypeName>מ.ר.</AuthenticationTypeName>
        <LegalEntityNumber>35433</LegalEntityNumber>
        <IsMainPartyType>true</IsMainPartyType>
        <CaseDisplayIdentifier>37992-05-21</CaseDisplayIdentifier>
        <CaseTypeID>15</CaseTypeID>
        <CaseTypeName>תיק משפחה (תמ"ש)</CaseTypeName>
        <CaseName>זמיר ואח' נ' מוטהד ואח'</CaseName>
        <FullAddress>רוטשילד 15 ראשון לציון </FullAddress>
        <EmailAddress>david@becidan-law.co.il</EmailAddress>
        <MotionID>0</MotionID>
        <CasePleaID>0</CasePleaID>
        <LinkedCaseID>0</LinkedCaseID>
        <PartyID>1</PartyID>
        <CasePartyCategoryID>2</CasePartyCategoryID>
        <LegalEntityAddressID>76059983</LegalEntityAddressID>
        <LegalEntityEmailAddressID>67921351</LegalEntityEmailAddressID>
        <PleaTypeID>4</PleaTypeID>
        <LawyerOfficeName>משרד עו"ד: דוד בסידן</LawyerOfficeName>
        <LawyerOfficeID>448901</LawyerOfficeID>
        <GroupPartyAlias/>
        <IsConverted>false</IsConverted>
        <LegalEntityNameID>29241</LegalEntityNameID>
        <RepresentatedNamesOfAssistant/>
        <LegalEntityTypeID>4</LegalEntityTypeID>
        <IsVerdictExists>false</IsVerdictExists>
        <IsAsirAzir>false</IsAsirAzir>
        <IsPublicationProhibited>false</IsPublicationProhibited>
        <PublicationProhibitedFullName>דוד בסידן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אפרים זמיר</FullName>
        <FirstName>אפרים</FirstName>
        <LastName>זמיר</LastName>
        <PartyPropertyName/>
        <AuthenticationTypeAndNumber>ת"ז 070227939</AuthenticationTypeAndNumber>
        <RepresentatedOrRepresentativesNames>דוד בסידן</RepresentatedOrRepresentativesNames>
        <RepresentatedOrRepresentativesCount>1</RepresentatedOrRepresentativesCount>
        <InvitedBy/>
        <CaseID>78340604</CaseID>
        <CaseJudicialPersonPresentationDS>
          <CaseJudicalPersonActive>
            <CaseID>78340604</CaseID>
            <JudicialPersonID>032014706@GOV.IL</JudicialPersonID>
            <JudicialPersonTypeID>1</JudicialPersonTypeID>
            <JudicialTypeID>1</JudicialTypeID>
            <IsChairman>false</IsChairman>
            <TreatmentStartDate>2021-05-19T21:44:00.637+03:00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226614650</CasePartyID>
        <PartyTypeID>1</PartyTypeID>
        <ActivityStatusID>1</ActivityStatusID>
        <PartyAliasID>1</PartyAliasID>
        <PartyAliasName>תובע</PartyAliasName>
        <OrdinalNumber>1</OrdinalNumber>
        <LegalEntityID>20986151</LegalEntityID>
        <CaseLegalEntityID>115347409</CaseLegalEntityID>
        <AuthenticationTypeID>1</AuthenticationTypeID>
        <AuthenticationTypeName>ת"ז</AuthenticationTypeName>
        <LegalEntityNumber>070227939</LegalEntityNumber>
        <IsMainPartyType>true</IsMainPartyType>
        <CaseDisplayIdentifier>37992-05-21</CaseDisplayIdentifier>
        <CaseTypeID>15</CaseTypeID>
        <CaseTypeName>תיק משפחה (תמ"ש)</CaseTypeName>
        <CaseName>זמיר ואח' נ' מוטהד ואח'</CaseName>
        <FullAddress/>
        <MotionID>0</MotionID>
        <CasePleaID>0</CasePleaID>
        <FatherName>יצחק</FatherName>
        <LinkedCaseID>0</LinkedCaseID>
        <PartyID>1</PartyID>
        <CasePartyCategoryID>2</CasePartyCategoryID>
        <PleaTypeID>4</PleaTypeID>
        <GroupPartyAlias>תובעים</GroupPartyAlias>
        <IsConverted>false</IsConverted>
        <LegalEntityRegisteredNameID>9517397</LegalEntityRegisteredNameID>
        <LegalEntityNameID>91389836</LegalEntityNameID>
        <RepresentatedNamesOfAssistant/>
        <LegalEntityTypeID>1</LegalEntityTypeID>
        <IsVerdictExists>false</IsVerdictExists>
        <IsAsirAzir>false</IsAsirAzir>
        <IsPublicationProhibited>false</IsPublicationProhibited>
        <PublicationProhibitedFullName>אפרים זמיר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שרה מוטהד</FullName>
        <FirstName>שרה</FirstName>
        <LastName>מוטהד</LastName>
        <PartyPropertyName/>
        <AuthenticationTypeAndNumber>ת"ז 037541661</AuthenticationTypeAndNumber>
        <RepresentatedOrRepresentativesNames>יוסף אסף קוסטיקה</RepresentatedOrRepresentativesNames>
        <RepresentatedOrRepresentativesCount>1</RepresentatedOrRepresentativesCount>
        <InvitedBy/>
        <CaseID>78340604</CaseID>
        <CaseJudicialPersonPresentationDS>
          <CaseJudicalPersonActive>
            <CaseID>78340604</CaseID>
            <JudicialPersonID>032014706@GOV.IL</JudicialPersonID>
            <JudicialPersonTypeID>1</JudicialPersonTypeID>
            <JudicialTypeID>1</JudicialTypeID>
            <IsChairman>false</IsChairman>
            <TreatmentStartDate>2021-05-19T21:44:00.637+03:00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226614652</CasePartyID>
        <PartyTypeID>1</PartyTypeID>
        <ActivityStatusID>1</ActivityStatusID>
        <PartyAliasID>2</PartyAliasID>
        <PartyAliasName>נתבע</PartyAliasName>
        <OrdinalNumber>1</OrdinalNumber>
        <LegalEntityID>518037</LegalEntityID>
        <CaseLegalEntityID>115347411</CaseLegalEntityID>
        <AuthenticationTypeID>1</AuthenticationTypeID>
        <AuthenticationTypeName>ת"ז</AuthenticationTypeName>
        <LegalEntityNumber>037541661</LegalEntityNumber>
        <IsMainPartyType>true</IsMainPartyType>
        <CaseDisplayIdentifier>37992-05-21</CaseDisplayIdentifier>
        <CaseTypeID>15</CaseTypeID>
        <CaseTypeName>תיק משפחה (תמ"ש)</CaseTypeName>
        <CaseName>זמיר ואח' נ' מוטהד ואח'</CaseName>
        <FullAddress>ירושלים 26 בת ים </FullAddress>
        <MotionID>0</MotionID>
        <CasePleaID>0</CasePleaID>
        <FatherName xml:space="preserve">        </FatherName>
        <LinkedCaseID>0</LinkedCaseID>
        <PartyID>2</PartyID>
        <CasePartyCategoryID>2</CasePartyCategoryID>
        <LegalEntityAddressID>85196143</LegalEntityAddressID>
        <PleaTypeID>4</PleaTypeID>
        <GroupPartyAlias>נתבעים</GroupPartyAlias>
        <IsConverted>false</IsConverted>
        <LegalEntityNameID>91389837</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שרה מוטהד</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יוסף זמיר בזיני</FullName>
        <FirstName>יוסף</FirstName>
        <LastName>זמיר בזיני</LastName>
        <PartyPropertyName/>
        <AuthenticationTypeAndNumber>ת"ז 051275709</AuthenticationTypeAndNumber>
        <RepresentatedOrRepresentativesNames>דוד בסידן</RepresentatedOrRepresentativesNames>
        <RepresentatedOrRepresentativesCount>1</RepresentatedOrRepresentativesCount>
        <InvitedBy/>
        <CaseID>78340604</CaseID>
        <CaseJudicialPersonPresentationDS>
          <CaseJudicalPersonActive>
            <CaseID>78340604</CaseID>
            <JudicialPersonID>032014706@GOV.IL</JudicialPersonID>
            <JudicialPersonTypeID>1</JudicialPersonTypeID>
            <JudicialTypeID>1</JudicialTypeID>
            <IsChairman>false</IsChairman>
            <TreatmentStartDate>2021-05-19T21:44:00.637+03:00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226614649</CasePartyID>
        <PartyTypeID>1</PartyTypeID>
        <ActivityStatusID>1</ActivityStatusID>
        <PartyAliasID>1</PartyAliasID>
        <PartyAliasName>תובע</PartyAliasName>
        <OrdinalNumber>2</OrdinalNumber>
        <LegalEntityID>23743707</LegalEntityID>
        <CaseLegalEntityID>115347408</CaseLegalEntityID>
        <AuthenticationTypeID>1</AuthenticationTypeID>
        <AuthenticationTypeName>ת"ז</AuthenticationTypeName>
        <LegalEntityNumber>051275709</LegalEntityNumber>
        <IsMainPartyType>true</IsMainPartyType>
        <CaseDisplayIdentifier>37992-05-21</CaseDisplayIdentifier>
        <CaseTypeID>15</CaseTypeID>
        <CaseTypeName>תיק משפחה (תמ"ש)</CaseTypeName>
        <CaseName>זמיר ואח' נ' מוטהד ואח'</CaseName>
        <FullAddress/>
        <MotionID>0</MotionID>
        <CasePleaID>0</CasePleaID>
        <FatherName>יצחק</FatherName>
        <LinkedCaseID>0</LinkedCaseID>
        <PartyID>1</PartyID>
        <CasePartyCategoryID>2</CasePartyCategoryID>
        <PleaTypeID>4</PleaTypeID>
        <GroupPartyAlias>תובעים</GroupPartyAlias>
        <IsConverted>false</IsConverted>
        <LegalEntityRegisteredNameID>9517396</LegalEntityRegisteredNameID>
        <LegalEntityNameID>91389835</LegalEntityNameID>
        <RepresentatedNamesOfAssistant/>
        <LegalEntityTypeID>1</LegalEntityTypeID>
        <IsVerdictExists>false</IsVerdictExists>
        <IsAsirAzir>false</IsAsirAzir>
        <IsPublicationProhibited>false</IsPublicationProhibited>
        <PublicationProhibitedFullName>יוסף זמיר בזיני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ציון מוטהד</FullName>
        <FirstName>ציון</FirstName>
        <LastName>מוטהד</LastName>
        <PartyPropertyName/>
        <AuthenticationTypeAndNumber>ת"ז 069406601</AuthenticationTypeAndNumber>
        <RepresentatedOrRepresentativesNames>יוסף אסף קוסטיקה</RepresentatedOrRepresentativesNames>
        <RepresentatedOrRepresentativesCount>1</RepresentatedOrRepresentativesCount>
        <InvitedBy/>
        <CaseID>78340604</CaseID>
        <CaseJudicialPersonPresentationDS>
          <CaseJudicalPersonActive>
            <CaseID>78340604</CaseID>
            <JudicialPersonID>032014706@GOV.IL</JudicialPersonID>
            <JudicialPersonTypeID>1</JudicialPersonTypeID>
            <JudicialTypeID>1</JudicialTypeID>
            <IsChairman>false</IsChairman>
            <TreatmentStartDate>2021-05-19T21:44:00.637+03:00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226614653</CasePartyID>
        <PartyTypeID>1</PartyTypeID>
        <ActivityStatusID>1</ActivityStatusID>
        <PartyAliasID>2</PartyAliasID>
        <PartyAliasName>נתבע</PartyAliasName>
        <OrdinalNumber>2</OrdinalNumber>
        <LegalEntityID>16674598</LegalEntityID>
        <CaseLegalEntityID>115347412</CaseLegalEntityID>
        <AuthenticationTypeID>1</AuthenticationTypeID>
        <AuthenticationTypeName>ת"ז</AuthenticationTypeName>
        <LegalEntityNumber>069406601</LegalEntityNumber>
        <IsMainPartyType>true</IsMainPartyType>
        <CaseDisplayIdentifier>37992-05-21</CaseDisplayIdentifier>
        <CaseTypeID>15</CaseTypeID>
        <CaseTypeName>תיק משפחה (תמ"ש)</CaseTypeName>
        <CaseName>זמיר ואח' נ' מוטהד ואח'</CaseName>
        <FullAddress>ירושלים 26 בת ים </FullAddress>
        <MotionID>0</MotionID>
        <CasePleaID>0</CasePleaID>
        <FatherName>יצחק</FatherName>
        <LinkedCaseID>0</LinkedCaseID>
        <PartyID>2</PartyID>
        <CasePartyCategoryID>2</CasePartyCategoryID>
        <LegalEntityAddressID>85196146</LegalEntityAddressID>
        <PleaTypeID>4</PleaTypeID>
        <GroupPartyAlias>נתבעים</GroupPartyAlias>
        <IsConverted>false</IsConverted>
        <LegalEntityRegisteredNameID>9517398</LegalEntityRegisteredNameID>
        <LegalEntityNameID>91389838</LegalEntityNameID>
        <RepresentatedNamesOfAssistant/>
        <LegalEntityTypeID>1</LegalEntityTypeID>
        <IsVerdictExists>false</IsVerdictExists>
        <IsAsirAzir>false</IsAsirAzir>
        <IsPublicationProhibited>false</IsPublicationProhibited>
        <PublicationProhibitedFullName>ציון מוטהד</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מרדכי זמיר</FullName>
        <FirstName>מרדכי</FirstName>
        <LastName>זמיר</LastName>
        <PartyPropertyName/>
        <AuthenticationTypeAndNumber>ת"ז 055742415</AuthenticationTypeAndNumber>
        <RepresentatedOrRepresentativesNames>דוד בסידן</RepresentatedOrRepresentativesNames>
        <RepresentatedOrRepresentativesCount>1</RepresentatedOrRepresentativesCount>
        <InvitedBy/>
        <CaseID>78340604</CaseID>
        <CaseJudicialPersonPresentationDS>
          <CaseJudicalPersonActive>
            <CaseID>78340604</CaseID>
            <JudicialPersonID>032014706@GOV.IL</JudicialPersonID>
            <JudicialPersonTypeID>1</JudicialPersonTypeID>
            <JudicialTypeID>1</JudicialTypeID>
            <IsChairman>false</IsChairman>
            <TreatmentStartDate>2021-05-19T21:44:00.637+03:00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226614648</CasePartyID>
        <PartyTypeID>1</PartyTypeID>
        <ActivityStatusID>1</ActivityStatusID>
        <PartyAliasID>1</PartyAliasID>
        <PartyAliasName>תובע</PartyAliasName>
        <OrdinalNumber>3</OrdinalNumber>
        <LegalEntityID>2360297</LegalEntityID>
        <CaseLegalEntityID>115347407</CaseLegalEntityID>
        <AuthenticationTypeID>1</AuthenticationTypeID>
        <AuthenticationTypeName>ת"ז</AuthenticationTypeName>
        <LegalEntityNumber>055742415</LegalEntityNumber>
        <IsMainPartyType>true</IsMainPartyType>
        <CaseDisplayIdentifier>37992-05-21</CaseDisplayIdentifier>
        <CaseTypeID>15</CaseTypeID>
        <CaseTypeName>תיק משפחה (תמ"ש)</CaseTypeName>
        <CaseName>זמיר ואח' נ' מוטהד ואח'</CaseName>
        <FullAddress/>
        <MotionID>0</MotionID>
        <CasePleaID>0</CasePleaID>
        <FatherName>יצחק</FatherName>
        <LinkedCaseID>0</LinkedCaseID>
        <PartyID>1</PartyID>
        <CasePartyCategoryID>2</CasePartyCategoryID>
        <PleaTypeID>4</PleaTypeID>
        <GroupPartyAlias>תובעים</GroupPartyAlias>
        <IsConverted>false</IsConverted>
        <LegalEntityRegisteredNameID>9517395</LegalEntityRegisteredNameID>
        <LegalEntityNameID>91389834</LegalEntityNameID>
        <RepresentatedNamesOfAssistant/>
        <LegalEntityTypeID>1</LegalEntityTypeID>
        <IsVerdictExists>false</IsVerdictExists>
        <IsAsirAzir>false</IsAsirAzir>
        <IsPublicationProhibited>false</IsPublicationProhibited>
        <PublicationProhibitedFullName>מרדכי זמיר</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משה זמיר</FullName>
        <FirstName>משה</FirstName>
        <LastName>זמיר</LastName>
        <PartyPropertyName/>
        <AuthenticationTypeAndNumber>ת"ז 064813280</AuthenticationTypeAndNumber>
        <RepresentatedOrRepresentativesNames>דוד בסידן</RepresentatedOrRepresentativesNames>
        <RepresentatedOrRepresentativesCount>1</RepresentatedOrRepresentativesCount>
        <InvitedBy/>
        <CaseID>78340604</CaseID>
        <CaseJudicialPersonPresentationDS>
          <CaseJudicalPersonActive>
            <CaseID>78340604</CaseID>
            <JudicialPersonID>032014706@GOV.IL</JudicialPersonID>
            <JudicialPersonTypeID>1</JudicialPersonTypeID>
            <JudicialTypeID>1</JudicialTypeID>
            <IsChairman>false</IsChairman>
            <TreatmentStartDate>2021-05-19T21:44:00.637+03:00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226614647</CasePartyID>
        <PartyTypeID>1</PartyTypeID>
        <ActivityStatusID>1</ActivityStatusID>
        <PartyAliasID>1</PartyAliasID>
        <PartyAliasName>תובע</PartyAliasName>
        <OrdinalNumber>4</OrdinalNumber>
        <LegalEntityID>16668664</LegalEntityID>
        <CaseLegalEntityID>115347406</CaseLegalEntityID>
        <AuthenticationTypeID>1</AuthenticationTypeID>
        <AuthenticationTypeName>ת"ז</AuthenticationTypeName>
        <LegalEntityNumber>064813280</LegalEntityNumber>
        <IsMainPartyType>true</IsMainPartyType>
        <CaseDisplayIdentifier>37992-05-21</CaseDisplayIdentifier>
        <CaseTypeID>15</CaseTypeID>
        <CaseTypeName>תיק משפחה (תמ"ש)</CaseTypeName>
        <CaseName>זמיר ואח' נ' מוטהד ואח'</CaseName>
        <FullAddress/>
        <MotionID>0</MotionID>
        <CasePleaID>0</CasePleaID>
        <BirthDate>1954-01-14T00:00:00+02:00</BirthDate>
        <FatherName>יצחק    </FatherName>
        <LinkedCaseID>0</LinkedCaseID>
        <PartyID>1</PartyID>
        <CasePartyCategoryID>2</CasePartyCategoryID>
        <PleaTypeID>4</PleaTypeID>
        <GroupPartyAlias>תובעים</GroupPartyAlias>
        <IsConverted>false</IsConverted>
        <LegalEntityRegisteredNameID>2037765</LegalEntityRegisteredNameID>
        <LegalEntityNameID>91389833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זמיר</PublicationProhibitedFullName>
      </CaseParties>
    </CasePartiesSelectionDS>
    <DecisionName>פסק דין  שניתנה ע"י  תמר סנונית פורר</DecisionName>
    <CourtDisplayName>בית משפט לענייני משפחה בתל אביב -יפו</CourtDisplayName>
    <IsCaseJudgePanel>false</IsCaseJudgePanel>
    <DecisionSignatureDate>2023-08-17T12:09:13.4841829+03:00</DecisionSignatureDate>
    <OpenCaseDate>2021-05-19T16:23:00+03:00</OpenCaseDate>
    <CaseFeeSum>0.000</CaseFeeSum>
    <DecisionTypeID>2</DecisionTypeID>
    <DecisionSignatureUserName>תמר סנונית פורר</DecisionSignatureUserName>
    <DecisionSignatureDateHebrew>2023-08-17T12:09:13.4841829+03:00</DecisionSignatureDateHebrew>
    <DecisionWriterID>032014706@GOV.IL</DecisionWriterID>
    <CourtAddress>רח' ויצמן 1, תל אביב -יפו 64239</CourtAddress>
    <IsAutoTextInCaseExist>false</IsAutoTextInCaseExist>
    <DecisionSignatureRoleName>שופט</DecisionSignatureRoleName>
    <DecisionSignatureUserTitleName>שופטת</DecisionSignatureUserTitleName>
    <CaseName>זמיר ואח' נ' מוטהד ואח'</CaseName>
    <DecisionNumberInCase>5</DecisionNumberInCase>
  </dt_Decision>
  <dt_DecisionCase>
    <DecisionID>0</DecisionID>
    <CaseID>78340604</CaseID>
    <CaseJudicialPersonPresentationDS>
      <CaseJudicalPersonActive>
        <CaseID>78340604</CaseID>
        <JudicialPersonID>032014706@GOV.IL</JudicialPersonID>
        <JudicialPersonTypeID>1</JudicialPersonTypeID>
        <JudicialTypeID>1</JudicialTypeID>
        <IsChairman>false</IsChairman>
        <TreatmentStartDate>2021-05-19T21:44:00.637+03:00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אבי שמיאן</FullName>
        <FirstName>אבי</FirstName>
        <LastName>שמיאן</LastName>
        <PartyPropertyName/>
        <AuthenticationTypeAndNumber>ת"ז </AuthenticationTypeAndNumber>
        <RepresentatedOrRepresentativesNames/>
        <RepresentatedOrRepresentativesCount>0</RepresentatedOrRepresentativesCount>
        <InvitedBy/>
        <CaseID>78340604</CaseID>
        <CaseJudicialPersonPresentationDS>
          <CaseJudicalPersonActive>
            <CaseID>78340604</CaseID>
            <JudicialPersonID>032014706@GOV.IL</JudicialPersonID>
            <JudicialPersonTypeID>1</JudicialPersonTypeID>
            <JudicialTypeID>1</JudicialTypeID>
            <IsChairman>false</IsChairman>
            <TreatmentStartDate>2021-05-19T21:44:00.637+03:00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237202544</CasePartyID>
        <PartyTypeID>4</PartyTypeID>
        <ActivityStatusID>1</ActivityStatusID>
        <PartyAliasID>101</PartyAliasID>
        <PartyAliasName>עד בית משפט</PartyAliasName>
        <LegalEntityID>80310004</LegalEntityID>
        <CaseLegalEntityID>118611345</CaseLegalEntityID>
        <AuthenticationTypeID>1</AuthenticationTypeID>
        <AuthenticationTypeName>ת"ז</AuthenticationTypeName>
        <IsMainPartyType>true</IsMainPartyType>
        <CaseDisplayIdentifier>37992-05-21</CaseDisplayIdentifier>
        <CaseTypeID>15</CaseTypeID>
        <CaseTypeName>תיק משפחה (תמ"ש)</CaseTypeName>
        <CaseName>זמיר ואח' נ' מוטהד ואח'</CaseName>
        <FullAddress>בלפור 53 בת ים </FullAddress>
        <MotionID>0</MotionID>
        <CasePleaID>0</CasePleaID>
        <LinkedCaseID>0</LinkedCaseID>
        <CasePartyCategoryID>1</CasePartyCategoryID>
        <LegalEntityAddressID>86165329</LegalEntityAddressID>
        <PleaTypeID>4</PleaTypeID>
        <GroupPartyAlias/>
        <IsConverted>false</IsConverted>
        <LegalEntityNameID>92666900</LegalEntityNameID>
        <RepresentatedNamesOfAssistant/>
        <LegalEntityTypeID>1</LegalEntityTypeID>
        <IsVerdictExists>false</IsVerdictExists>
        <IsAsirAzir>false</IsAsirAzir>
        <IsPublicationProhibited>false</IsPublicationProhibited>
        <PublicationProhibitedFullName>אבי שמיאן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יוסף אסף קוסטיקה</FullName>
        <FirstName>יוסף אסף</FirstName>
        <LastName>קוסטיקה</LastName>
        <PartyPropertyName/>
        <AuthenticationTypeAndNumber>מ.ר. 36150</AuthenticationTypeAndNumber>
        <RepresentatedOrRepresentativesNames>ציון מוטהד, שרה מוטהד</RepresentatedOrRepresentativesNames>
        <RepresentatedOrRepresentativesCount>2</RepresentatedOrRepresentativesCount>
        <InvitedBy/>
        <CaseID>78340604</CaseID>
        <CaseJudicialPersonPresentationDS>
          <CaseJudicalPersonActive>
            <CaseID>78340604</CaseID>
            <JudicialPersonID>032014706@GOV.IL</JudicialPersonID>
            <JudicialPersonTypeID>1</JudicialPersonTypeID>
            <JudicialTypeID>1</JudicialTypeID>
            <IsChairman>false</IsChairman>
            <TreatmentStartDate>2021-05-19T21:44:00.637+03:00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228664971</CasePartyID>
        <PartyTypeID>2</PartyTypeID>
        <ActivityStatusID>1</ActivityStatusID>
        <PartyAliasID>21</PartyAliasID>
        <PartyAliasName>בא כוח נתבעים</PartyAliasName>
        <LegalEntityID>408266</LegalEntityID>
        <CaseLegalEntityID>115953459</CaseLegalEntityID>
        <AuthenticationTypeID>4</AuthenticationTypeID>
        <AuthenticationTypeName>מ.ר.</AuthenticationTypeName>
        <LegalEntityNumber>36150</LegalEntityNumber>
        <IsMainPartyType>true</IsMainPartyType>
        <CaseDisplayIdentifier>37992-05-21</CaseDisplayIdentifier>
        <CaseTypeID>15</CaseTypeID>
        <CaseTypeName>תיק משפחה (תמ"ש)</CaseTypeName>
        <CaseName>זמיר ואח' נ' מוטהד ואח'</CaseName>
        <FullAddress>דרך בגין 144א תל אביב -יפו </FullAddress>
        <EmailAddress>kostica@lawonline.co.il</EmailAddress>
        <MotionID>0</MotionID>
        <CasePleaID>0</CasePleaID>
        <FatherName xml:space="preserve">        </FatherName>
        <LinkedCaseID>0</LinkedCaseID>
        <PartyID>2</PartyID>
        <CasePartyCategoryID>2</CasePartyCategoryID>
        <LegalEntityAddressID>87379550</LegalEntityAddressID>
        <LegalEntityEmailAddressID>31827245</LegalEntityEmailAddressID>
        <PleaTypeID>4</PleaTypeID>
        <LawyerOfficeName>קוסטיקה חב' עורכי דין</LawyerOfficeName>
        <LawyerOfficeID>448910</LawyerOfficeID>
        <GroupPartyAlias/>
        <IsConverted>false</IsConverted>
        <LegalEntityNameID>1745516</LegalEntityNameID>
        <RepresentatedNamesOfAssistant/>
        <LegalEntityTypeID>4</LegalEntityTypeID>
        <IsVerdictExists>false</IsVerdictExists>
        <IsAsirAzir>false</IsAsirAzir>
        <IsPublicationProhibited>false</IsPublicationProhibited>
        <PublicationProhibitedFullName>יוסף אסף קוסטיקה</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אביעד קשקש</FullName>
        <FirstName>אביעד</FirstName>
        <LastName>קשקש</LastName>
        <PartyPropertyName/>
        <AuthenticationTypeAndNumber>ת"ז 060775111</AuthenticationTypeAndNumber>
        <RepresentatedOrRepresentativesNames/>
        <RepresentatedOrRepresentativesCount>0</RepresentatedOrRepresentativesCount>
        <InvitedBy/>
        <CaseID>78340604</CaseID>
        <CaseJudicialPersonPresentationDS>
          <CaseJudicalPersonActive>
            <CaseID>78340604</CaseID>
            <JudicialPersonID>032014706@GOV.IL</JudicialPersonID>
            <JudicialPersonTypeID>1</JudicialPersonTypeID>
            <JudicialTypeID>1</JudicialTypeID>
            <IsChairman>false</IsChairman>
            <TreatmentStartDate>2021-05-19T21:44:00.637+03:00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241122488</CasePartyID>
        <PartyTypeID>4</PartyTypeID>
        <ActivityStatusID>1</ActivityStatusID>
        <PartyAliasID>62</PartyAliasID>
        <PartyAliasName>עד הגנה</PartyAliasName>
        <LegalEntityID>20997093</LegalEntityID>
        <CaseLegalEntityID>119802952</CaseLegalEntityID>
        <AuthenticationTypeID>1</AuthenticationTypeID>
        <AuthenticationTypeName>ת"ז</AuthenticationTypeName>
        <LegalEntityNumber>060775111</LegalEntityNumber>
        <IsMainPartyType>true</IsMainPartyType>
        <CaseDisplayIdentifier>37992-05-21</CaseDisplayIdentifier>
        <CaseTypeID>15</CaseTypeID>
        <CaseTypeName>תיק משפחה (תמ"ש)</CaseTypeName>
        <CaseName>זמיר ואח' נ' מוטהד ואח'</CaseName>
        <FullAddress>מנחם בגין 150 תל אביב -יפו </FullAddress>
        <MotionID>0</MotionID>
        <CasePleaID>0</CasePleaID>
        <FatherName>מאיר</FatherName>
        <LinkedCaseID>0</LinkedCaseID>
        <PartyID>2</PartyID>
        <CasePartyCategoryID>2</CasePartyCategoryID>
        <LegalEntityAddressID>86519645</LegalEntityAddressID>
        <PleaTypeID>4</PleaTypeID>
        <GroupPartyAlias/>
        <IsConverted>false</IsConverted>
        <LegalEntityRegisteredNameID>1786075</LegalEntityRegisteredNameID>
        <LegalEntityNameID>93122598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אביעד קשקש</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דוד בסידן</FullName>
        <FirstName>דוד</FirstName>
        <LastName>בסידן</LastName>
        <PartyPropertyName/>
        <AuthenticationTypeAndNumber>מ.ר. 35433</AuthenticationTypeAndNumber>
        <RepresentatedOrRepresentativesNames>אפרים זמיר, מרדכי זמיר, משה זמיר, יוסף זמיר בזיני</RepresentatedOrRepresentativesNames>
        <RepresentatedOrRepresentativesCount>4</RepresentatedOrRepresentativesCount>
        <InvitedBy/>
        <CaseID>78340604</CaseID>
        <CaseJudicialPersonPresentationDS>
          <CaseJudicalPersonActive>
            <CaseID>78340604</CaseID>
            <JudicialPersonID>032014706@GOV.IL</JudicialPersonID>
            <JudicialPersonTypeID>1</JudicialPersonTypeID>
            <JudicialTypeID>1</JudicialTypeID>
            <IsChairman>false</IsChairman>
            <TreatmentStartDate>2021-05-19T21:44:00.637+03:00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226614651</CasePartyID>
        <PartyTypeID>2</PartyTypeID>
        <ActivityStatusID>1</ActivityStatusID>
        <PartyAliasID>20</PartyAliasID>
        <PartyAliasName>בא כוח תובעים</PartyAliasName>
        <OrdinalNumber>1</OrdinalNumber>
        <LegalEntityID>408257</LegalEntityID>
        <CaseLegalEntityID>115347410</CaseLegalEntityID>
        <AuthenticationTypeID>4</AuthenticationTypeID>
        <AuthenticationTypeName>מ.ר.</AuthenticationTypeName>
        <LegalEntityNumber>35433</LegalEntityNumber>
        <IsMainPartyType>true</IsMainPartyType>
        <CaseDisplayIdentifier>37992-05-21</CaseDisplayIdentifier>
        <CaseTypeID>15</CaseTypeID>
        <CaseTypeName>תיק משפחה (תמ"ש)</CaseTypeName>
        <CaseName>זמיר ואח' נ' מוטהד ואח'</CaseName>
        <FullAddress>רוטשילד 15 ראשון לציון </FullAddress>
        <EmailAddress>david@becidan-law.co.il</EmailAddress>
        <MotionID>0</MotionID>
        <CasePleaID>0</CasePleaID>
        <LinkedCaseID>0</LinkedCaseID>
        <PartyID>1</PartyID>
        <CasePartyCategoryID>2</CasePartyCategoryID>
        <LegalEntityAddressID>76059983</LegalEntityAddressID>
        <LegalEntityEmailAddressID>67921351</LegalEntityEmailAddressID>
        <PleaTypeID>4</PleaTypeID>
        <LawyerOfficeName>משרד עו"ד: דוד בסידן</LawyerOfficeName>
        <LawyerOfficeID>448901</LawyerOfficeID>
        <GroupPartyAlias/>
        <IsConverted>false</IsConverted>
        <LegalEntityNameID>29241</LegalEntityNameID>
        <RepresentatedNamesOfAssistant/>
        <LegalEntityTypeID>4</LegalEntityTypeID>
        <IsVerdictExists>false</IsVerdictExists>
        <IsAsirAzir>false</IsAsirAzir>
        <IsPublicationProhibited>false</IsPublicationProhibited>
        <PublicationProhibitedFullName>דוד בסידן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אפרים זמיר</FullName>
        <FirstName>אפרים</FirstName>
        <LastName>זמיר</LastName>
        <PartyPropertyName/>
        <AuthenticationTypeAndNumber>ת"ז 070227939</AuthenticationTypeAndNumber>
        <RepresentatedOrRepresentativesNames>דוד בסידן</RepresentatedOrRepresentativesNames>
        <RepresentatedOrRepresentativesCount>1</RepresentatedOrRepresentativesCount>
        <InvitedBy/>
        <CaseID>78340604</CaseID>
        <CaseJudicialPersonPresentationDS>
          <CaseJudicalPersonActive>
            <CaseID>78340604</CaseID>
            <JudicialPersonID>032014706@GOV.IL</JudicialPersonID>
            <JudicialPersonTypeID>1</JudicialPersonTypeID>
            <JudicialTypeID>1</JudicialTypeID>
            <IsChairman>false</IsChairman>
            <TreatmentStartDate>2021-05-19T21:44:00.637+03:00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226614650</CasePartyID>
        <PartyTypeID>1</PartyTypeID>
        <ActivityStatusID>1</ActivityStatusID>
        <PartyAliasID>1</PartyAliasID>
        <PartyAliasName>תובע</PartyAliasName>
        <OrdinalNumber>1</OrdinalNumber>
        <LegalEntityID>20986151</LegalEntityID>
        <CaseLegalEntityID>115347409</CaseLegalEntityID>
        <AuthenticationTypeID>1</AuthenticationTypeID>
        <AuthenticationTypeName>ת"ז</AuthenticationTypeName>
        <LegalEntityNumber>070227939</LegalEntityNumber>
        <IsMainPartyType>true</IsMainPartyType>
        <CaseDisplayIdentifier>37992-05-21</CaseDisplayIdentifier>
        <CaseTypeID>15</CaseTypeID>
        <CaseTypeName>תיק משפחה (תמ"ש)</CaseTypeName>
        <CaseName>זמיר ואח' נ' מוטהד ואח'</CaseName>
        <FullAddress/>
        <MotionID>0</MotionID>
        <CasePleaID>0</CasePleaID>
        <FatherName>יצחק</FatherName>
        <LinkedCaseID>0</LinkedCaseID>
        <PartyID>1</PartyID>
        <CasePartyCategoryID>2</CasePartyCategoryID>
        <PleaTypeID>4</PleaTypeID>
        <GroupPartyAlias>תובעים</GroupPartyAlias>
        <IsConverted>false</IsConverted>
        <LegalEntityRegisteredNameID>9517397</LegalEntityRegisteredNameID>
        <LegalEntityNameID>91389836</LegalEntityNameID>
        <RepresentatedNamesOfAssistant/>
        <LegalEntityTypeID>1</LegalEntityTypeID>
        <IsVerdictExists>false</IsVerdictExists>
        <IsAsirAzir>false</IsAsirAzir>
        <IsPublicationProhibited>false</IsPublicationProhibited>
        <PublicationProhibitedFullName>אפרים זמיר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שרה מוטהד</FullName>
        <FirstName>שרה</FirstName>
        <LastName>מוטהד</LastName>
        <PartyPropertyName/>
        <AuthenticationTypeAndNumber>ת"ז 037541661</AuthenticationTypeAndNumber>
        <RepresentatedOrRepresentativesNames>יוסף אסף קוסטיקה</RepresentatedOrRepresentativesNames>
        <RepresentatedOrRepresentativesCount>1</RepresentatedOrRepresentativesCount>
        <InvitedBy/>
        <CaseID>78340604</CaseID>
        <CaseJudicialPersonPresentationDS>
          <CaseJudicalPersonActive>
            <CaseID>78340604</CaseID>
            <JudicialPersonID>032014706@GOV.IL</JudicialPersonID>
            <JudicialPersonTypeID>1</JudicialPersonTypeID>
            <JudicialTypeID>1</JudicialTypeID>
            <IsChairman>false</IsChairman>
            <TreatmentStartDate>2021-05-19T21:44:00.637+03:00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226614652</CasePartyID>
        <PartyTypeID>1</PartyTypeID>
        <ActivityStatusID>1</ActivityStatusID>
        <PartyAliasID>2</PartyAliasID>
        <PartyAliasName>נתבע</PartyAliasName>
        <OrdinalNumber>1</OrdinalNumber>
        <LegalEntityID>518037</LegalEntityID>
        <CaseLegalEntityID>115347411</CaseLegalEntityID>
        <AuthenticationTypeID>1</AuthenticationTypeID>
        <AuthenticationTypeName>ת"ז</AuthenticationTypeName>
        <LegalEntityNumber>037541661</LegalEntityNumber>
        <IsMainPartyType>true</IsMainPartyType>
        <CaseDisplayIdentifier>37992-05-21</CaseDisplayIdentifier>
        <CaseTypeID>15</CaseTypeID>
        <CaseTypeName>תיק משפחה (תמ"ש)</CaseTypeName>
        <CaseName>זמיר ואח' נ' מוטהד ואח'</CaseName>
        <FullAddress>ירושלים 26 בת ים </FullAddress>
        <MotionID>0</MotionID>
        <CasePleaID>0</CasePleaID>
        <FatherName xml:space="preserve">        </FatherName>
        <LinkedCaseID>0</LinkedCaseID>
        <PartyID>2</PartyID>
        <CasePartyCategoryID>2</CasePartyCategoryID>
        <LegalEntityAddressID>85196143</LegalEntityAddressID>
        <PleaTypeID>4</PleaTypeID>
        <GroupPartyAlias>נתבעים</GroupPartyAlias>
        <IsConverted>false</IsConverted>
        <LegalEntityNameID>91389837</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שרה מוטהד</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יוסף זמיר בזיני</FullName>
        <FirstName>יוסף</FirstName>
        <LastName>זמיר בזיני</LastName>
        <PartyPropertyName/>
        <AuthenticationTypeAndNumber>ת"ז 051275709</AuthenticationTypeAndNumber>
        <RepresentatedOrRepresentativesNames>דוד בסידן</RepresentatedOrRepresentativesNames>
        <RepresentatedOrRepresentativesCount>1</RepresentatedOrRepresentativesCount>
        <InvitedBy/>
        <CaseID>78340604</CaseID>
        <CaseJudicialPersonPresentationDS>
          <CaseJudicalPersonActive>
            <CaseID>78340604</CaseID>
            <JudicialPersonID>032014706@GOV.IL</JudicialPersonID>
            <JudicialPersonTypeID>1</JudicialPersonTypeID>
            <JudicialTypeID>1</JudicialTypeID>
            <IsChairman>false</IsChairman>
            <TreatmentStartDate>2021-05-19T21:44:00.637+03:00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226614649</CasePartyID>
        <PartyTypeID>1</PartyTypeID>
        <ActivityStatusID>1</ActivityStatusID>
        <PartyAliasID>1</PartyAliasID>
        <PartyAliasName>תובע</PartyAliasName>
        <OrdinalNumber>2</OrdinalNumber>
        <LegalEntityID>23743707</LegalEntityID>
        <CaseLegalEntityID>115347408</CaseLegalEntityID>
        <AuthenticationTypeID>1</AuthenticationTypeID>
        <AuthenticationTypeName>ת"ז</AuthenticationTypeName>
        <LegalEntityNumber>051275709</LegalEntityNumber>
        <IsMainPartyType>true</IsMainPartyType>
        <CaseDisplayIdentifier>37992-05-21</CaseDisplayIdentifier>
        <CaseTypeID>15</CaseTypeID>
        <CaseTypeName>תיק משפחה (תמ"ש)</CaseTypeName>
        <CaseName>זמיר ואח' נ' מוטהד ואח'</CaseName>
        <FullAddress/>
        <MotionID>0</MotionID>
        <CasePleaID>0</CasePleaID>
        <FatherName>יצחק</FatherName>
        <LinkedCaseID>0</LinkedCaseID>
        <PartyID>1</PartyID>
        <CasePartyCategoryID>2</CasePartyCategoryID>
        <PleaTypeID>4</PleaTypeID>
        <GroupPartyAlias>תובעים</GroupPartyAlias>
        <IsConverted>false</IsConverted>
        <LegalEntityRegisteredNameID>9517396</LegalEntityRegisteredNameID>
        <LegalEntityNameID>91389835</LegalEntityNameID>
        <RepresentatedNamesOfAssistant/>
        <LegalEntityTypeID>1</LegalEntityTypeID>
        <IsVerdictExists>false</IsVerdictExists>
        <IsAsirAzir>false</IsAsirAzir>
        <IsPublicationProhibited>false</IsPublicationProhibited>
        <PublicationProhibitedFullName>יוסף זמיר בזיני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ציון מוטהד</FullName>
        <FirstName>ציון</FirstName>
        <LastName>מוטהד</LastName>
        <PartyPropertyName/>
        <AuthenticationTypeAndNumber>ת"ז 069406601</AuthenticationTypeAndNumber>
        <RepresentatedOrRepresentativesNames>יוסף אסף קוסטיקה</RepresentatedOrRepresentativesNames>
        <RepresentatedOrRepresentativesCount>1</RepresentatedOrRepresentativesCount>
        <InvitedBy/>
        <CaseID>78340604</CaseID>
        <CaseJudicialPersonPresentationDS>
          <CaseJudicalPersonActive>
            <CaseID>78340604</CaseID>
            <JudicialPersonID>032014706@GOV.IL</JudicialPersonID>
            <JudicialPersonTypeID>1</JudicialPersonTypeID>
            <JudicialTypeID>1</JudicialTypeID>
            <IsChairman>false</IsChairman>
            <TreatmentStartDate>2021-05-19T21:44:00.637+03:00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226614653</CasePartyID>
        <PartyTypeID>1</PartyTypeID>
        <ActivityStatusID>1</ActivityStatusID>
        <PartyAliasID>2</PartyAliasID>
        <PartyAliasName>נתבע</PartyAliasName>
        <OrdinalNumber>2</OrdinalNumber>
        <LegalEntityID>16674598</LegalEntityID>
        <CaseLegalEntityID>115347412</CaseLegalEntityID>
        <AuthenticationTypeID>1</AuthenticationTypeID>
        <AuthenticationTypeName>ת"ז</AuthenticationTypeName>
        <LegalEntityNumber>069406601</LegalEntityNumber>
        <IsMainPartyType>true</IsMainPartyType>
        <CaseDisplayIdentifier>37992-05-21</CaseDisplayIdentifier>
        <CaseTypeID>15</CaseTypeID>
        <CaseTypeName>תיק משפחה (תמ"ש)</CaseTypeName>
        <CaseName>זמיר ואח' נ' מוטהד ואח'</CaseName>
        <FullAddress>ירושלים 26 בת ים </FullAddress>
        <MotionID>0</MotionID>
        <CasePleaID>0</CasePleaID>
        <FatherName>יצחק</FatherName>
        <LinkedCaseID>0</LinkedCaseID>
        <PartyID>2</PartyID>
        <CasePartyCategoryID>2</CasePartyCategoryID>
        <LegalEntityAddressID>85196146</LegalEntityAddressID>
        <PleaTypeID>4</PleaTypeID>
        <GroupPartyAlias>נתבעים</GroupPartyAlias>
        <IsConverted>false</IsConverted>
        <LegalEntityRegisteredNameID>9517398</LegalEntityRegisteredNameID>
        <LegalEntityNameID>91389838</LegalEntityNameID>
        <RepresentatedNamesOfAssistant/>
        <LegalEntityTypeID>1</LegalEntityTypeID>
        <IsVerdictExists>false</IsVerdictExists>
        <IsAsirAzir>false</IsAsirAzir>
        <IsPublicationProhibited>false</IsPublicationProhibited>
        <PublicationProhibitedFullName>ציון מוטהד</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מרדכי זמיר</FullName>
        <FirstName>מרדכי</FirstName>
        <LastName>זמיר</LastName>
        <PartyPropertyName/>
        <AuthenticationTypeAndNumber>ת"ז 055742415</AuthenticationTypeAndNumber>
        <RepresentatedOrRepresentativesNames>דוד בסידן</RepresentatedOrRepresentativesNames>
        <RepresentatedOrRepresentativesCount>1</RepresentatedOrRepresentativesCount>
        <InvitedBy/>
        <CaseID>78340604</CaseID>
        <CaseJudicialPersonPresentationDS>
          <CaseJudicalPersonActive>
            <CaseID>78340604</CaseID>
            <JudicialPersonID>032014706@GOV.IL</JudicialPersonID>
            <JudicialPersonTypeID>1</JudicialPersonTypeID>
            <JudicialTypeID>1</JudicialTypeID>
            <IsChairman>false</IsChairman>
            <TreatmentStartDate>2021-05-19T21:44:00.637+03:00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226614648</CasePartyID>
        <PartyTypeID>1</PartyTypeID>
        <ActivityStatusID>1</ActivityStatusID>
        <PartyAliasID>1</PartyAliasID>
        <PartyAliasName>תובע</PartyAliasName>
        <OrdinalNumber>3</OrdinalNumber>
        <LegalEntityID>2360297</LegalEntityID>
        <CaseLegalEntityID>115347407</CaseLegalEntityID>
        <AuthenticationTypeID>1</AuthenticationTypeID>
        <AuthenticationTypeName>ת"ז</AuthenticationTypeName>
        <LegalEntityNumber>055742415</LegalEntityNumber>
        <IsMainPartyType>true</IsMainPartyType>
        <CaseDisplayIdentifier>37992-05-21</CaseDisplayIdentifier>
        <CaseTypeID>15</CaseTypeID>
        <CaseTypeName>תיק משפחה (תמ"ש)</CaseTypeName>
        <CaseName>זמיר ואח' נ' מוטהד ואח'</CaseName>
        <FullAddress/>
        <MotionID>0</MotionID>
        <CasePleaID>0</CasePleaID>
        <FatherName>יצחק</FatherName>
        <LinkedCaseID>0</LinkedCaseID>
        <PartyID>1</PartyID>
        <CasePartyCategoryID>2</CasePartyCategoryID>
        <PleaTypeID>4</PleaTypeID>
        <GroupPartyAlias>תובעים</GroupPartyAlias>
        <IsConverted>false</IsConverted>
        <LegalEntityRegisteredNameID>9517395</LegalEntityRegisteredNameID>
        <LegalEntityNameID>91389834</LegalEntityNameID>
        <RepresentatedNamesOfAssistant/>
        <LegalEntityTypeID>1</LegalEntityTypeID>
        <IsVerdictExists>false</IsVerdictExists>
        <IsAsirAzir>false</IsAsirAzir>
        <IsPublicationProhibited>false</IsPublicationProhibited>
        <PublicationProhibitedFullName>מרדכי זמיר</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משה זמיר</FullName>
        <FirstName>משה</FirstName>
        <LastName>זמיר</LastName>
        <PartyPropertyName/>
        <AuthenticationTypeAndNumber>ת"ז 064813280</AuthenticationTypeAndNumber>
        <RepresentatedOrRepresentativesNames>דוד בסידן</RepresentatedOrRepresentativesNames>
        <RepresentatedOrRepresentativesCount>1</RepresentatedOrRepresentativesCount>
        <InvitedBy/>
        <CaseID>78340604</CaseID>
        <CaseJudicialPersonPresentationDS>
          <CaseJudicalPersonActive>
            <CaseID>78340604</CaseID>
            <JudicialPersonID>032014706@GOV.IL</JudicialPersonID>
            <JudicialPersonTypeID>1</JudicialPersonTypeID>
            <JudicialTypeID>1</JudicialTypeID>
            <IsChairman>false</IsChairman>
            <TreatmentStartDate>2021-05-19T21:44:00.637+03:00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226614647</CasePartyID>
        <PartyTypeID>1</PartyTypeID>
        <ActivityStatusID>1</ActivityStatusID>
        <PartyAliasID>1</PartyAliasID>
        <PartyAliasName>תובע</PartyAliasName>
        <OrdinalNumber>4</OrdinalNumber>
        <LegalEntityID>16668664</LegalEntityID>
        <CaseLegalEntityID>115347406</CaseLegalEntityID>
        <AuthenticationTypeID>1</AuthenticationTypeID>
        <AuthenticationTypeName>ת"ז</AuthenticationTypeName>
        <LegalEntityNumber>064813280</LegalEntityNumber>
        <IsMainPartyType>true</IsMainPartyType>
        <CaseDisplayIdentifier>37992-05-21</CaseDisplayIdentifier>
        <CaseTypeID>15</CaseTypeID>
        <CaseTypeName>תיק משפחה (תמ"ש)</CaseTypeName>
        <CaseName>זמיר ואח' נ' מוטהד ואח'</CaseName>
        <FullAddress/>
        <MotionID>0</MotionID>
        <CasePleaID>0</CasePleaID>
        <BirthDate>1954-01-14T00:00:00+02:00</BirthDate>
        <FatherName>יצחק    </FatherName>
        <LinkedCaseID>0</LinkedCaseID>
        <PartyID>1</PartyID>
        <CasePartyCategoryID>2</CasePartyCategoryID>
        <PleaTypeID>4</PleaTypeID>
        <GroupPartyAlias>תובעים</GroupPartyAlias>
        <IsConverted>false</IsConverted>
        <LegalEntityRegisteredNameID>2037765</LegalEntityRegisteredNameID>
        <LegalEntityNameID>91389833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זמיר</PublicationProhibitedFullName>
      </CaseParties>
    </CasePartiesSelectionDS>
    <CaseName>זמיר ואח' נ' מוטהד ואח'</CaseName>
    <CaseDisplayIdentifier>37992-05-21</CaseDisplayIdentifier>
    <CaseInterestID>158</CaseInterestID>
    <CaseTypeShortName>תמ"ש</CaseTypeShortName>
  </dt_DecisionCase>
  <dt_DecisionJudgePanel>
    <JudgeID>032014706@GOV.IL</JudgeID>
    <DisplayName>תמר סנונית פורר</DisplayName>
    <RoleName>שופט</RoleName>
    <UserTitleName>שופטת</UserTitleName>
  </dt_DecisionJudgePanel>
  <dt_LegalEntityDetails>
    <Fax>03-6914042</Fax>
    <Phone>03-6914041</Phone>
    <PartyID>2</PartyID>
    <PartyTypeID>2</PartyTypeID>
    <DecisionID>0</DecisionID>
    <StreetName>דרך בגין 144א</StreetName>
    <CityName>תל אביב -יפו</CityName>
    <FullName>יוסף אסף קוסטיקה</FullName>
    <Email>kostica@lawonline.co.il</Email>
    <IsPublicationProhibited>false</IsPublicationProhibited>
  </dt_LegalEntityDetails>
  <dt_LegalEntityDetails>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FullName>אפרים  זמיר</FullName>
    <IsPublicationProhibited>false</IsPublicationProhibited>
  </dt_LegalEntityDetails>
  <dt_LegalEntityDetails>
    <Fax>03-9615459</Fax>
    <Phone>03-9615454</Phone>
    <PartyID>1</PartyID>
    <PartyTypeID>2</PartyTypeID>
    <DecisionID>0</DecisionID>
    <StreetName>רוטשילד 15</StreetName>
    <ZipCode>7526601</ZipCode>
    <CityName>ראשון לציון</CityName>
    <FullName>דוד בסידן</FullName>
    <Email>david@becidan-law.co.il</Email>
    <IsPublicationProhibited>false</IsPublicationProhibited>
  </dt_LegalEntityDetails>
  <dt_LegalEntityDetails>
    <PartyID>2</PartyID>
    <PartyTypeID>1</PartyTypeID>
    <DecisionID>0</DecisionID>
    <StreetName>ירושלים 26</StreetName>
    <CityName>בת ים</CityName>
    <FullName>שרה  מוטהד </FullName>
    <IsPublicationProhibited>false</IsPublicationProhibited>
  </dt_LegalEntityDetails>
  <dt_LegalEntityDetails>
    <PartyID>1</PartyID>
    <PartyTypeID>1</PartyTypeID>
    <DecisionID>0</DecisionID>
    <FullName>יוסף  זמיר בזיני </FullName>
    <IsPublicationProhibited>false</IsPublicationProhibited>
  </dt_LegalEntityDetails>
  <dt_LegalEntityDetails>
    <PartyID>2</PartyID>
    <PartyTypeID>1</PartyTypeID>
    <DecisionID>0</DecisionID>
    <StreetName>ירושלים 26</StreetName>
    <CityName>בת ים</CityName>
    <FullName>ציון מוטהד </FullName>
    <IsPublicationProhibited>false</IsPublicationProhibited>
  </dt_LegalEntityDetails>
  <dt_LegalEntityDetails>
    <PartyID>1</PartyID>
    <PartyTypeID>1</PartyTypeID>
    <DecisionID>0</DecisionID>
    <FullName>מרדכי  זמיר </FullName>
    <IsPublicationProhibited>false</IsPublicationProhibited>
  </dt_LegalEntityDetails>
  <dt_LegalEntityDetails>
    <PartyID>1</PartyID>
    <PartyTypeID>1</PartyTypeID>
    <DecisionID>0</DecisionID>
    <FullName>משה  זמיר </FullName>
    <IsPublicationProhibited>false</IsPublicationProhibited>
  </dt_LegalEntityDetails>
  <dt_CaseJudicalPersonActive>
    <CaseJudicalPerson>שופטת תמר סנונית פורר</CaseJudicalPerson>
  </dt_CaseJudicalPersonActive>
  <dt_Sitting>
    <PreviousMeetingDate>2022-05-25T11:30:00+03:00</PreviousMeetingDate>
    <PreviousSittingTypeID>2</PreviousSittingTypeID>
    <PreviousMeetingDisplayName>שופטת תמר סנונית פורר</PreviousMeetingDisplayName>
    <PreviousMeetingRoleName>שופט</PreviousMeetingRoleName>
    <PreviousMeetingUserTitleName>שופטת</PreviousMeetingUserTitleName>
    <PreviousMeetingUserUPN>032014706@GOV.IL</PreviousMeetingUserUPN>
  </dt_Sitting>
</DecisionTemplateDS>
</file>

<file path=customXml/itemProps1.xml><?xml version="1.0" encoding="utf-8"?>
<ds:datastoreItem xmlns:ds="http://schemas.openxmlformats.org/officeDocument/2006/customXml" ds:itemID="{3E0D08D8-915F-43CA-90D9-0780078E004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6277</Words>
  <Characters>31388</Characters>
  <Application>Microsoft Office Word</Application>
  <DocSecurity>0</DocSecurity>
  <Lines>261</Lines>
  <Paragraphs>75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אסתר טטרואשוילי</dc:creator>
  <cp:lastModifiedBy>אסתר טטרואשילי</cp:lastModifiedBy>
  <cp:revision>2</cp:revision>
  <dcterms:created xsi:type="dcterms:W3CDTF">2024-06-09T07:30:00Z</dcterms:created>
  <dcterms:modified xsi:type="dcterms:W3CDTF">2024-06-09T07:30:00Z</dcterms:modified>
</cp:coreProperties>
</file>